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bottom w:val="single" w:sz="4" w:space="0" w:color="auto"/>
        </w:tblBorders>
        <w:tblLook w:val="01E0" w:firstRow="1" w:lastRow="1" w:firstColumn="1" w:lastColumn="1" w:noHBand="0" w:noVBand="0"/>
      </w:tblPr>
      <w:tblGrid>
        <w:gridCol w:w="6940"/>
        <w:gridCol w:w="1842"/>
      </w:tblGrid>
      <w:tr w:rsidR="000A03B2" w:rsidRPr="00471026" w14:paraId="2A131A54" w14:textId="77777777" w:rsidTr="001C31BF">
        <w:trPr>
          <w:trHeight w:val="852"/>
          <w:jc w:val="center"/>
        </w:trPr>
        <w:tc>
          <w:tcPr>
            <w:tcW w:w="6940" w:type="dxa"/>
            <w:vMerge w:val="restart"/>
            <w:tcBorders>
              <w:right w:val="single" w:sz="4" w:space="0" w:color="auto"/>
            </w:tcBorders>
          </w:tcPr>
          <w:p w14:paraId="38C3D2BA" w14:textId="77777777" w:rsidR="000A03B2" w:rsidRPr="00471026" w:rsidRDefault="000A03B2" w:rsidP="00DE264A">
            <w:pPr>
              <w:tabs>
                <w:tab w:val="left" w:pos="-108"/>
              </w:tabs>
              <w:ind w:left="-108"/>
              <w:jc w:val="left"/>
              <w:rPr>
                <w:rFonts w:cs="Arial"/>
                <w:b/>
                <w:bCs/>
                <w:i/>
                <w:iCs/>
                <w:color w:val="000066"/>
                <w:sz w:val="12"/>
                <w:szCs w:val="12"/>
                <w:lang w:eastAsia="it-IT"/>
              </w:rPr>
            </w:pPr>
            <w:r w:rsidRPr="00471026">
              <w:rPr>
                <w:rFonts w:cs="Arial"/>
                <w:noProof/>
                <w:color w:val="241F20"/>
                <w:szCs w:val="18"/>
                <w:lang w:val="es-ES" w:eastAsia="es-ES"/>
              </w:rPr>
              <w:drawing>
                <wp:inline distT="0" distB="0" distL="0" distR="0" wp14:anchorId="02B7C3D3" wp14:editId="5EE03112">
                  <wp:extent cx="640080" cy="373380"/>
                  <wp:effectExtent l="0" t="0" r="7620" b="7620"/>
                  <wp:docPr id="5" name="Immagine 5" descr="cet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et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0080" cy="373380"/>
                          </a:xfrm>
                          <a:prstGeom prst="rect">
                            <a:avLst/>
                          </a:prstGeom>
                          <a:noFill/>
                          <a:ln>
                            <a:noFill/>
                          </a:ln>
                        </pic:spPr>
                      </pic:pic>
                    </a:graphicData>
                  </a:graphic>
                </wp:inline>
              </w:drawing>
            </w:r>
            <w:r w:rsidRPr="00471026">
              <w:rPr>
                <w:rFonts w:cs="Arial"/>
                <w:color w:val="241F20"/>
                <w:szCs w:val="18"/>
                <w:lang w:eastAsia="it-IT"/>
              </w:rPr>
              <w:t xml:space="preserve"> </w:t>
            </w:r>
            <w:r w:rsidRPr="00471026">
              <w:rPr>
                <w:rFonts w:cs="Arial"/>
                <w:b/>
                <w:bCs/>
                <w:i/>
                <w:iCs/>
                <w:color w:val="000066"/>
                <w:sz w:val="24"/>
                <w:szCs w:val="24"/>
                <w:lang w:eastAsia="it-IT"/>
              </w:rPr>
              <w:t>CHEMICAL ENGINEERING</w:t>
            </w:r>
            <w:r w:rsidRPr="00471026">
              <w:rPr>
                <w:rFonts w:cs="Arial"/>
                <w:b/>
                <w:bCs/>
                <w:i/>
                <w:iCs/>
                <w:color w:val="0033FF"/>
                <w:sz w:val="24"/>
                <w:szCs w:val="24"/>
                <w:lang w:eastAsia="it-IT"/>
              </w:rPr>
              <w:t xml:space="preserve"> </w:t>
            </w:r>
            <w:r w:rsidRPr="00471026">
              <w:rPr>
                <w:rFonts w:cs="Arial"/>
                <w:b/>
                <w:bCs/>
                <w:i/>
                <w:iCs/>
                <w:color w:val="666666"/>
                <w:sz w:val="24"/>
                <w:szCs w:val="24"/>
                <w:lang w:eastAsia="it-IT"/>
              </w:rPr>
              <w:t>TRANSACTIONS</w:t>
            </w:r>
            <w:r w:rsidRPr="00471026">
              <w:rPr>
                <w:rFonts w:cs="Arial"/>
                <w:color w:val="333333"/>
                <w:sz w:val="24"/>
                <w:szCs w:val="24"/>
                <w:lang w:eastAsia="it-IT"/>
              </w:rPr>
              <w:t xml:space="preserve"> </w:t>
            </w:r>
            <w:r w:rsidRPr="00471026">
              <w:rPr>
                <w:rFonts w:cs="Arial"/>
                <w:b/>
                <w:bCs/>
                <w:i/>
                <w:iCs/>
                <w:color w:val="000066"/>
                <w:sz w:val="27"/>
                <w:szCs w:val="27"/>
                <w:lang w:eastAsia="it-IT"/>
              </w:rPr>
              <w:br/>
            </w:r>
          </w:p>
          <w:p w14:paraId="4B780582" w14:textId="530285EB" w:rsidR="000A03B2" w:rsidRPr="00471026" w:rsidRDefault="00A76EFC" w:rsidP="001D21AF">
            <w:pPr>
              <w:tabs>
                <w:tab w:val="left" w:pos="-108"/>
              </w:tabs>
              <w:ind w:left="-108"/>
              <w:rPr>
                <w:rFonts w:cs="Arial"/>
                <w:b/>
                <w:bCs/>
                <w:i/>
                <w:iCs/>
                <w:color w:val="000066"/>
                <w:sz w:val="22"/>
                <w:szCs w:val="22"/>
                <w:lang w:eastAsia="it-IT"/>
              </w:rPr>
            </w:pPr>
            <w:r w:rsidRPr="00471026">
              <w:rPr>
                <w:rFonts w:cs="Arial"/>
                <w:b/>
                <w:bCs/>
                <w:i/>
                <w:iCs/>
                <w:color w:val="000066"/>
                <w:sz w:val="22"/>
                <w:szCs w:val="22"/>
                <w:lang w:eastAsia="it-IT"/>
              </w:rPr>
              <w:t xml:space="preserve">VOL. </w:t>
            </w:r>
            <w:r w:rsidR="0030152C" w:rsidRPr="00471026">
              <w:rPr>
                <w:rFonts w:cs="Arial"/>
                <w:b/>
                <w:bCs/>
                <w:i/>
                <w:iCs/>
                <w:color w:val="000066"/>
                <w:sz w:val="22"/>
                <w:szCs w:val="22"/>
                <w:lang w:eastAsia="it-IT"/>
              </w:rPr>
              <w:t xml:space="preserve">   </w:t>
            </w:r>
            <w:r w:rsidR="007B48F9" w:rsidRPr="00471026">
              <w:rPr>
                <w:rFonts w:cs="Arial"/>
                <w:b/>
                <w:bCs/>
                <w:i/>
                <w:iCs/>
                <w:color w:val="000066"/>
                <w:sz w:val="22"/>
                <w:szCs w:val="22"/>
                <w:lang w:eastAsia="it-IT"/>
              </w:rPr>
              <w:t>,</w:t>
            </w:r>
            <w:r w:rsidR="00FA5F5F" w:rsidRPr="00471026">
              <w:rPr>
                <w:rFonts w:cs="Arial"/>
                <w:b/>
                <w:bCs/>
                <w:i/>
                <w:iCs/>
                <w:color w:val="000066"/>
                <w:sz w:val="22"/>
                <w:szCs w:val="22"/>
                <w:lang w:eastAsia="it-IT"/>
              </w:rPr>
              <w:t xml:space="preserve"> </w:t>
            </w:r>
            <w:r w:rsidR="0030152C" w:rsidRPr="00471026">
              <w:rPr>
                <w:rFonts w:cs="Arial"/>
                <w:b/>
                <w:bCs/>
                <w:i/>
                <w:iCs/>
                <w:color w:val="000066"/>
                <w:sz w:val="22"/>
                <w:szCs w:val="22"/>
                <w:lang w:eastAsia="it-IT"/>
              </w:rPr>
              <w:t>2023</w:t>
            </w:r>
          </w:p>
        </w:tc>
        <w:tc>
          <w:tcPr>
            <w:tcW w:w="1842" w:type="dxa"/>
            <w:tcBorders>
              <w:left w:val="single" w:sz="4" w:space="0" w:color="auto"/>
              <w:bottom w:val="nil"/>
              <w:right w:val="single" w:sz="4" w:space="0" w:color="auto"/>
            </w:tcBorders>
          </w:tcPr>
          <w:p w14:paraId="56782132" w14:textId="77777777" w:rsidR="000A03B2" w:rsidRPr="00471026" w:rsidRDefault="000A03B2" w:rsidP="00CD5FE2">
            <w:pPr>
              <w:spacing w:line="140" w:lineRule="atLeast"/>
              <w:jc w:val="right"/>
              <w:rPr>
                <w:rFonts w:cs="Arial"/>
                <w:sz w:val="14"/>
                <w:szCs w:val="14"/>
              </w:rPr>
            </w:pPr>
            <w:r w:rsidRPr="00471026">
              <w:rPr>
                <w:rFonts w:cs="Arial"/>
                <w:sz w:val="14"/>
                <w:szCs w:val="14"/>
              </w:rPr>
              <w:t>A publication of</w:t>
            </w:r>
          </w:p>
          <w:p w14:paraId="599E5441" w14:textId="77777777" w:rsidR="000A03B2" w:rsidRPr="00471026" w:rsidRDefault="000A03B2" w:rsidP="00CD5FE2">
            <w:pPr>
              <w:jc w:val="right"/>
              <w:rPr>
                <w:rFonts w:cs="Arial"/>
              </w:rPr>
            </w:pPr>
            <w:r w:rsidRPr="00471026">
              <w:rPr>
                <w:rFonts w:cs="Arial"/>
                <w:noProof/>
                <w:lang w:val="es-ES" w:eastAsia="es-ES"/>
              </w:rPr>
              <w:drawing>
                <wp:inline distT="0" distB="0" distL="0" distR="0" wp14:anchorId="59C75AF4" wp14:editId="4FF92432">
                  <wp:extent cx="670560" cy="358140"/>
                  <wp:effectExtent l="0" t="0" r="0" b="3810"/>
                  <wp:docPr id="6" name="Immagine 6" descr="aidiclogo_gran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idiclogo_grand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0560" cy="358140"/>
                          </a:xfrm>
                          <a:prstGeom prst="rect">
                            <a:avLst/>
                          </a:prstGeom>
                          <a:noFill/>
                          <a:ln>
                            <a:noFill/>
                          </a:ln>
                        </pic:spPr>
                      </pic:pic>
                    </a:graphicData>
                  </a:graphic>
                </wp:inline>
              </w:drawing>
            </w:r>
          </w:p>
        </w:tc>
      </w:tr>
      <w:tr w:rsidR="000A03B2" w:rsidRPr="00471026" w14:paraId="380FA3CD" w14:textId="77777777" w:rsidTr="001C31BF">
        <w:trPr>
          <w:trHeight w:val="567"/>
          <w:jc w:val="center"/>
        </w:trPr>
        <w:tc>
          <w:tcPr>
            <w:tcW w:w="6940" w:type="dxa"/>
            <w:vMerge/>
            <w:tcBorders>
              <w:right w:val="single" w:sz="4" w:space="0" w:color="auto"/>
            </w:tcBorders>
          </w:tcPr>
          <w:p w14:paraId="39E5E4C1" w14:textId="77777777" w:rsidR="000A03B2" w:rsidRPr="00471026" w:rsidRDefault="000A03B2" w:rsidP="00CD5FE2">
            <w:pPr>
              <w:tabs>
                <w:tab w:val="left" w:pos="-108"/>
              </w:tabs>
              <w:rPr>
                <w:rFonts w:cs="Arial"/>
              </w:rPr>
            </w:pPr>
          </w:p>
        </w:tc>
        <w:tc>
          <w:tcPr>
            <w:tcW w:w="1842" w:type="dxa"/>
            <w:tcBorders>
              <w:left w:val="single" w:sz="4" w:space="0" w:color="auto"/>
              <w:bottom w:val="nil"/>
              <w:right w:val="single" w:sz="4" w:space="0" w:color="auto"/>
            </w:tcBorders>
          </w:tcPr>
          <w:p w14:paraId="43858A98" w14:textId="77777777" w:rsidR="000A03B2" w:rsidRPr="00471026" w:rsidRDefault="000A03B2" w:rsidP="00CD5FE2">
            <w:pPr>
              <w:spacing w:line="140" w:lineRule="atLeast"/>
              <w:jc w:val="right"/>
              <w:rPr>
                <w:rFonts w:cs="Arial"/>
                <w:sz w:val="14"/>
                <w:szCs w:val="14"/>
              </w:rPr>
            </w:pPr>
            <w:r w:rsidRPr="00471026">
              <w:rPr>
                <w:rFonts w:cs="Arial"/>
                <w:sz w:val="14"/>
                <w:szCs w:val="14"/>
              </w:rPr>
              <w:t>The Italian Association</w:t>
            </w:r>
          </w:p>
          <w:p w14:paraId="7522B1D2" w14:textId="77777777" w:rsidR="000A03B2" w:rsidRPr="00471026" w:rsidRDefault="000A03B2" w:rsidP="00CD5FE2">
            <w:pPr>
              <w:spacing w:line="140" w:lineRule="atLeast"/>
              <w:jc w:val="right"/>
              <w:rPr>
                <w:rFonts w:cs="Arial"/>
                <w:sz w:val="14"/>
                <w:szCs w:val="14"/>
              </w:rPr>
            </w:pPr>
            <w:r w:rsidRPr="00471026">
              <w:rPr>
                <w:rFonts w:cs="Arial"/>
                <w:sz w:val="14"/>
                <w:szCs w:val="14"/>
              </w:rPr>
              <w:t>of Chemical Engineering</w:t>
            </w:r>
          </w:p>
          <w:p w14:paraId="4F0CC5DE" w14:textId="47FDB2FC" w:rsidR="000A03B2" w:rsidRPr="00471026" w:rsidRDefault="000D0268" w:rsidP="00CD5FE2">
            <w:pPr>
              <w:spacing w:line="140" w:lineRule="atLeast"/>
              <w:jc w:val="right"/>
              <w:rPr>
                <w:rFonts w:cs="Arial"/>
                <w:sz w:val="13"/>
                <w:szCs w:val="13"/>
              </w:rPr>
            </w:pPr>
            <w:r w:rsidRPr="00471026">
              <w:rPr>
                <w:rFonts w:cs="Arial"/>
                <w:sz w:val="13"/>
                <w:szCs w:val="13"/>
              </w:rPr>
              <w:t>Online at www.cetjournal.it</w:t>
            </w:r>
          </w:p>
        </w:tc>
      </w:tr>
      <w:tr w:rsidR="000A03B2" w:rsidRPr="00471026" w14:paraId="2D1B7169" w14:textId="77777777" w:rsidTr="001C31BF">
        <w:trPr>
          <w:trHeight w:val="68"/>
          <w:jc w:val="center"/>
        </w:trPr>
        <w:tc>
          <w:tcPr>
            <w:tcW w:w="8782" w:type="dxa"/>
            <w:gridSpan w:val="2"/>
          </w:tcPr>
          <w:p w14:paraId="1D8DD3C9" w14:textId="086598E2" w:rsidR="00AA7D26" w:rsidRPr="00471026" w:rsidRDefault="00AA7D26" w:rsidP="00AA7D26">
            <w:pPr>
              <w:ind w:left="-107"/>
              <w:outlineLvl w:val="2"/>
              <w:rPr>
                <w:rFonts w:cs="Arial"/>
                <w:bCs/>
                <w:color w:val="000000"/>
                <w:sz w:val="14"/>
                <w:szCs w:val="14"/>
                <w:lang w:eastAsia="it-IT"/>
              </w:rPr>
            </w:pPr>
            <w:r w:rsidRPr="00471026">
              <w:rPr>
                <w:rFonts w:cs="Arial"/>
                <w:iCs/>
                <w:color w:val="333333"/>
                <w:sz w:val="14"/>
                <w:szCs w:val="14"/>
                <w:lang w:eastAsia="it-IT"/>
              </w:rPr>
              <w:t>Guest Editors:</w:t>
            </w:r>
            <w:r w:rsidRPr="00471026">
              <w:rPr>
                <w:rFonts w:cs="Arial"/>
                <w:color w:val="000000"/>
                <w:sz w:val="14"/>
                <w:szCs w:val="14"/>
                <w:shd w:val="clear" w:color="auto" w:fill="FFFFFF"/>
              </w:rPr>
              <w:t xml:space="preserve"> </w:t>
            </w:r>
          </w:p>
          <w:p w14:paraId="1B0F1814" w14:textId="1CDEFB22" w:rsidR="000A03B2" w:rsidRPr="00471026" w:rsidRDefault="00AA7D26" w:rsidP="00AA7D26">
            <w:pPr>
              <w:tabs>
                <w:tab w:val="left" w:pos="-108"/>
              </w:tabs>
              <w:spacing w:line="140" w:lineRule="atLeast"/>
              <w:ind w:left="-107"/>
              <w:jc w:val="left"/>
              <w:rPr>
                <w:rFonts w:cs="Arial"/>
              </w:rPr>
            </w:pPr>
            <w:r w:rsidRPr="00471026">
              <w:rPr>
                <w:rFonts w:cs="Arial"/>
                <w:iCs/>
                <w:color w:val="333333"/>
                <w:sz w:val="14"/>
                <w:szCs w:val="14"/>
                <w:lang w:eastAsia="it-IT"/>
              </w:rPr>
              <w:t>Copyright © 2023, AIDIC Servizi S.r.l.</w:t>
            </w:r>
            <w:r w:rsidRPr="00471026">
              <w:rPr>
                <w:rFonts w:cs="Arial"/>
                <w:iCs/>
                <w:color w:val="333333"/>
                <w:sz w:val="14"/>
                <w:szCs w:val="14"/>
                <w:lang w:eastAsia="it-IT"/>
              </w:rPr>
              <w:br/>
            </w:r>
            <w:r w:rsidRPr="00471026">
              <w:rPr>
                <w:rFonts w:cs="Arial"/>
                <w:b/>
                <w:iCs/>
                <w:color w:val="000000"/>
                <w:sz w:val="14"/>
                <w:szCs w:val="14"/>
                <w:lang w:eastAsia="it-IT"/>
              </w:rPr>
              <w:t>ISBN</w:t>
            </w:r>
            <w:r w:rsidRPr="00471026">
              <w:rPr>
                <w:rFonts w:cs="Arial"/>
                <w:iCs/>
                <w:color w:val="000000"/>
                <w:sz w:val="14"/>
                <w:szCs w:val="14"/>
                <w:lang w:eastAsia="it-IT"/>
              </w:rPr>
              <w:t xml:space="preserve"> </w:t>
            </w:r>
            <w:r w:rsidR="00D2582C" w:rsidRPr="00471026">
              <w:rPr>
                <w:rFonts w:cs="Arial"/>
                <w:sz w:val="14"/>
                <w:szCs w:val="14"/>
              </w:rPr>
              <w:t>979-12-81206-</w:t>
            </w:r>
            <w:r w:rsidR="00557E00" w:rsidRPr="00471026">
              <w:rPr>
                <w:rFonts w:cs="Arial"/>
                <w:sz w:val="14"/>
                <w:szCs w:val="14"/>
              </w:rPr>
              <w:t>XX</w:t>
            </w:r>
            <w:r w:rsidR="00D2582C" w:rsidRPr="00471026">
              <w:rPr>
                <w:rFonts w:cs="Arial"/>
                <w:sz w:val="14"/>
                <w:szCs w:val="14"/>
              </w:rPr>
              <w:t>-</w:t>
            </w:r>
            <w:r w:rsidR="00557E00" w:rsidRPr="00471026">
              <w:rPr>
                <w:rFonts w:cs="Arial"/>
                <w:sz w:val="14"/>
                <w:szCs w:val="14"/>
              </w:rPr>
              <w:t>X</w:t>
            </w:r>
            <w:r w:rsidRPr="00471026">
              <w:rPr>
                <w:rFonts w:cs="Arial"/>
                <w:iCs/>
                <w:color w:val="333333"/>
                <w:sz w:val="14"/>
                <w:szCs w:val="14"/>
                <w:lang w:eastAsia="it-IT"/>
              </w:rPr>
              <w:t xml:space="preserve">; </w:t>
            </w:r>
            <w:r w:rsidRPr="00471026">
              <w:rPr>
                <w:rFonts w:cs="Arial"/>
                <w:b/>
                <w:iCs/>
                <w:color w:val="333333"/>
                <w:sz w:val="14"/>
                <w:szCs w:val="14"/>
                <w:lang w:eastAsia="it-IT"/>
              </w:rPr>
              <w:t>ISSN</w:t>
            </w:r>
            <w:r w:rsidRPr="00471026">
              <w:rPr>
                <w:rFonts w:cs="Arial"/>
                <w:iCs/>
                <w:color w:val="333333"/>
                <w:sz w:val="14"/>
                <w:szCs w:val="14"/>
                <w:lang w:eastAsia="it-IT"/>
              </w:rPr>
              <w:t xml:space="preserve"> 2283-9216</w:t>
            </w:r>
          </w:p>
        </w:tc>
      </w:tr>
    </w:tbl>
    <w:p w14:paraId="2E667253" w14:textId="4B440E2E" w:rsidR="00E978D0" w:rsidRPr="00471026" w:rsidRDefault="001C31BF" w:rsidP="00E978D0">
      <w:pPr>
        <w:pStyle w:val="CETTitle"/>
        <w:rPr>
          <w:rFonts w:cs="Arial"/>
        </w:rPr>
      </w:pPr>
      <w:r w:rsidRPr="00471026">
        <w:rPr>
          <w:rFonts w:cs="Arial"/>
        </w:rPr>
        <w:t>Development of a protocol for the systematic analysis of events at hydrogen refuelling stations.</w:t>
      </w:r>
    </w:p>
    <w:p w14:paraId="0488FED2" w14:textId="558ABF4B" w:rsidR="00B57E6F" w:rsidRPr="00471026" w:rsidRDefault="001C31BF" w:rsidP="00B57E6F">
      <w:pPr>
        <w:pStyle w:val="CETAuthors"/>
        <w:rPr>
          <w:rFonts w:cs="Arial"/>
          <w:lang w:val="es-ES"/>
        </w:rPr>
      </w:pPr>
      <w:r w:rsidRPr="00471026">
        <w:rPr>
          <w:rFonts w:cs="Arial"/>
          <w:lang w:val="es-ES"/>
        </w:rPr>
        <w:t>Joaquín Navajas</w:t>
      </w:r>
      <w:r w:rsidR="00B57E6F" w:rsidRPr="00471026">
        <w:rPr>
          <w:rFonts w:cs="Arial"/>
          <w:vertAlign w:val="superscript"/>
          <w:lang w:val="es-ES"/>
        </w:rPr>
        <w:t>a</w:t>
      </w:r>
      <w:r w:rsidRPr="00471026">
        <w:rPr>
          <w:rFonts w:cs="Arial"/>
          <w:vertAlign w:val="superscript"/>
          <w:lang w:val="es-ES"/>
        </w:rPr>
        <w:t>*</w:t>
      </w:r>
      <w:r w:rsidR="00B57E6F" w:rsidRPr="00471026">
        <w:rPr>
          <w:rFonts w:cs="Arial"/>
          <w:lang w:val="es-ES"/>
        </w:rPr>
        <w:t xml:space="preserve">, </w:t>
      </w:r>
      <w:r w:rsidRPr="00471026">
        <w:rPr>
          <w:rFonts w:cs="Arial"/>
          <w:lang w:val="es-ES"/>
        </w:rPr>
        <w:t>Eulàlia Badia</w:t>
      </w:r>
      <w:r w:rsidR="00680082" w:rsidRPr="00471026">
        <w:rPr>
          <w:rFonts w:cs="Arial"/>
          <w:vertAlign w:val="superscript"/>
          <w:lang w:val="es-ES"/>
        </w:rPr>
        <w:t>a</w:t>
      </w:r>
      <w:r w:rsidR="00B57E6F" w:rsidRPr="00471026">
        <w:rPr>
          <w:rFonts w:cs="Arial"/>
          <w:lang w:val="es-ES"/>
        </w:rPr>
        <w:t xml:space="preserve">, </w:t>
      </w:r>
      <w:r w:rsidRPr="00471026">
        <w:rPr>
          <w:rFonts w:cs="Arial"/>
          <w:lang w:val="es-ES"/>
        </w:rPr>
        <w:t>Roser Sala</w:t>
      </w:r>
      <w:r w:rsidR="00680082" w:rsidRPr="00471026">
        <w:rPr>
          <w:rFonts w:cs="Arial"/>
          <w:vertAlign w:val="superscript"/>
          <w:lang w:val="es-ES"/>
        </w:rPr>
        <w:t>a</w:t>
      </w:r>
      <w:r w:rsidRPr="00471026">
        <w:rPr>
          <w:rFonts w:cs="Arial"/>
          <w:lang w:val="es-ES"/>
        </w:rPr>
        <w:t>, Hitomi Sato</w:t>
      </w:r>
      <w:r w:rsidR="00680082" w:rsidRPr="00471026">
        <w:rPr>
          <w:rFonts w:cs="Arial"/>
          <w:vertAlign w:val="superscript"/>
          <w:lang w:val="es-ES"/>
        </w:rPr>
        <w:t>b</w:t>
      </w:r>
      <w:r w:rsidRPr="00471026">
        <w:rPr>
          <w:rFonts w:cs="Arial"/>
          <w:lang w:val="es-ES"/>
        </w:rPr>
        <w:t>, Nicola</w:t>
      </w:r>
      <w:r w:rsidR="00680082" w:rsidRPr="00471026">
        <w:rPr>
          <w:rFonts w:cs="Arial"/>
          <w:lang w:val="es-ES"/>
        </w:rPr>
        <w:t xml:space="preserve"> Paltrinieri</w:t>
      </w:r>
      <w:r w:rsidR="00680082" w:rsidRPr="00471026">
        <w:rPr>
          <w:rFonts w:cs="Arial"/>
          <w:vertAlign w:val="superscript"/>
          <w:lang w:val="es-ES"/>
        </w:rPr>
        <w:t>c</w:t>
      </w:r>
    </w:p>
    <w:p w14:paraId="20F49D51" w14:textId="0DE6BC5B" w:rsidR="00680082" w:rsidRPr="00471026" w:rsidRDefault="00B57E6F" w:rsidP="005C283E">
      <w:pPr>
        <w:pStyle w:val="CETAddress"/>
        <w:rPr>
          <w:rFonts w:cs="Arial"/>
          <w:lang w:val="es-ES"/>
        </w:rPr>
      </w:pPr>
      <w:r w:rsidRPr="00471026">
        <w:rPr>
          <w:rFonts w:cs="Arial"/>
          <w:vertAlign w:val="superscript"/>
          <w:lang w:val="es-ES"/>
        </w:rPr>
        <w:t>a</w:t>
      </w:r>
      <w:r w:rsidR="00680082" w:rsidRPr="00471026">
        <w:rPr>
          <w:rFonts w:cs="Arial"/>
          <w:lang w:val="es-ES"/>
        </w:rPr>
        <w:t>Socio-Technical Research Centre, Centro de Investigaciones Energéticas, Medioambientales y Tecnológicas (CIEMAT)</w:t>
      </w:r>
      <w:r w:rsidR="00A71D9C" w:rsidRPr="00471026">
        <w:rPr>
          <w:rFonts w:cs="Arial"/>
          <w:lang w:val="es-ES"/>
        </w:rPr>
        <w:t xml:space="preserve">. </w:t>
      </w:r>
      <w:r w:rsidR="005C283E" w:rsidRPr="00471026">
        <w:rPr>
          <w:rFonts w:cs="Arial"/>
          <w:lang w:val="es-ES"/>
        </w:rPr>
        <w:t>Mòdul de Recerca A. Plaça del Coneixement s/n, Universitat Autònoma d</w:t>
      </w:r>
      <w:r w:rsidR="005C6478">
        <w:rPr>
          <w:rFonts w:cs="Arial"/>
          <w:lang w:val="es-ES"/>
        </w:rPr>
        <w:t>e Barcelona, 08193 Bellaterra, Barcelona</w:t>
      </w:r>
      <w:r w:rsidR="005C283E" w:rsidRPr="00471026">
        <w:rPr>
          <w:rFonts w:cs="Arial"/>
          <w:lang w:val="es-ES"/>
        </w:rPr>
        <w:t>, Spain</w:t>
      </w:r>
      <w:r w:rsidR="00471026">
        <w:rPr>
          <w:rFonts w:cs="Arial"/>
          <w:lang w:val="es-ES"/>
        </w:rPr>
        <w:t>.</w:t>
      </w:r>
    </w:p>
    <w:p w14:paraId="58312E6C" w14:textId="117ED049" w:rsidR="00680082" w:rsidRPr="00471026" w:rsidRDefault="00B57E6F" w:rsidP="00B57E6F">
      <w:pPr>
        <w:pStyle w:val="CETAddress"/>
        <w:rPr>
          <w:rFonts w:cs="Arial"/>
        </w:rPr>
      </w:pPr>
      <w:r w:rsidRPr="00471026">
        <w:rPr>
          <w:rFonts w:cs="Arial"/>
          <w:vertAlign w:val="superscript"/>
        </w:rPr>
        <w:t>b</w:t>
      </w:r>
      <w:r w:rsidR="00680082" w:rsidRPr="00471026">
        <w:rPr>
          <w:rFonts w:cs="Arial"/>
        </w:rPr>
        <w:t>Institute</w:t>
      </w:r>
      <w:r w:rsidR="00607F79" w:rsidRPr="006A42DD">
        <w:rPr>
          <w:rFonts w:cs="Arial" w:hint="eastAsia"/>
        </w:rPr>
        <w:t>s</w:t>
      </w:r>
      <w:r w:rsidR="00680082" w:rsidRPr="00471026">
        <w:rPr>
          <w:rFonts w:cs="Arial"/>
        </w:rPr>
        <w:t xml:space="preserve"> of Innovation for Future Society, Nagoya University</w:t>
      </w:r>
      <w:r w:rsidR="00A71D9C" w:rsidRPr="00471026">
        <w:rPr>
          <w:rFonts w:cs="Arial"/>
        </w:rPr>
        <w:t xml:space="preserve">. </w:t>
      </w:r>
      <w:r w:rsidR="00607F79">
        <w:rPr>
          <w:rFonts w:cs="Arial"/>
        </w:rPr>
        <w:t>Furo-cho, Chikusa-ku, Nagoya, Japan</w:t>
      </w:r>
      <w:r w:rsidR="00F062B5">
        <w:rPr>
          <w:rFonts w:cs="Arial"/>
        </w:rPr>
        <w:t>.</w:t>
      </w:r>
    </w:p>
    <w:p w14:paraId="7C6E4DC0" w14:textId="49094E4B" w:rsidR="00680082" w:rsidRPr="00471026" w:rsidRDefault="00680082" w:rsidP="00680082">
      <w:pPr>
        <w:pStyle w:val="CETAddress"/>
        <w:rPr>
          <w:rFonts w:cs="Arial"/>
        </w:rPr>
      </w:pPr>
      <w:r w:rsidRPr="00471026">
        <w:rPr>
          <w:rFonts w:cs="Arial"/>
          <w:vertAlign w:val="superscript"/>
        </w:rPr>
        <w:t>c</w:t>
      </w:r>
      <w:r w:rsidR="00596730" w:rsidRPr="00471026">
        <w:rPr>
          <w:rFonts w:cs="Arial"/>
        </w:rPr>
        <w:t>Department of Mechanical and Industrial Engineering, Norwegian University of Science and Technology (NTNU)</w:t>
      </w:r>
      <w:r w:rsidR="00490F4B" w:rsidRPr="00490F4B">
        <w:rPr>
          <w:rFonts w:cs="Arial"/>
        </w:rPr>
        <w:t>, Richard Birkela</w:t>
      </w:r>
      <w:r w:rsidR="00490F4B">
        <w:rPr>
          <w:rFonts w:cs="Arial"/>
        </w:rPr>
        <w:t>nds vei 2b, Trondheim 7034, Norway</w:t>
      </w:r>
      <w:r w:rsidR="00F062B5">
        <w:rPr>
          <w:rFonts w:cs="Arial"/>
        </w:rPr>
        <w:t>.</w:t>
      </w:r>
    </w:p>
    <w:p w14:paraId="73F1267A" w14:textId="785A93B9" w:rsidR="00B57E6F" w:rsidRPr="00471026" w:rsidRDefault="00680082" w:rsidP="002617F3">
      <w:pPr>
        <w:pStyle w:val="CETemail"/>
        <w:spacing w:after="120"/>
        <w:rPr>
          <w:rFonts w:cs="Arial"/>
        </w:rPr>
      </w:pPr>
      <w:r w:rsidRPr="00471026">
        <w:rPr>
          <w:rFonts w:cs="Arial"/>
        </w:rPr>
        <w:t>joaquin.navajas</w:t>
      </w:r>
      <w:r w:rsidR="00B57E6F" w:rsidRPr="00471026">
        <w:rPr>
          <w:rFonts w:cs="Arial"/>
        </w:rPr>
        <w:t>@</w:t>
      </w:r>
      <w:r w:rsidRPr="00471026">
        <w:rPr>
          <w:rFonts w:cs="Arial"/>
        </w:rPr>
        <w:t>ciemat.es</w:t>
      </w:r>
    </w:p>
    <w:p w14:paraId="6274A58D" w14:textId="39D2939B" w:rsidR="00A71D9C" w:rsidRPr="00471026" w:rsidRDefault="002749CC" w:rsidP="00A71D9C">
      <w:pPr>
        <w:pStyle w:val="CETBodytext"/>
        <w:rPr>
          <w:rFonts w:cs="Arial"/>
          <w:lang w:val="en-GB"/>
        </w:rPr>
      </w:pPr>
      <w:bookmarkStart w:id="0" w:name="_Hlk495475023"/>
      <w:r w:rsidRPr="002749CC">
        <w:rPr>
          <w:rFonts w:cs="Arial"/>
          <w:highlight w:val="yellow"/>
          <w:lang w:val="en-GB"/>
        </w:rPr>
        <w:t>Sustainable hydrogen is transitioning from a future concept to a reality in everyday life, especially in some countries</w:t>
      </w:r>
      <w:r w:rsidR="00A71D9C" w:rsidRPr="00471026">
        <w:rPr>
          <w:rFonts w:cs="Arial"/>
          <w:lang w:val="en-GB"/>
        </w:rPr>
        <w:t>. There are numerous developments and applications of primary use of hydrogen, such as fuel cell vehicles and hydrogen refuelling stations (HRS</w:t>
      </w:r>
      <w:r w:rsidR="00142634">
        <w:rPr>
          <w:rFonts w:cs="Arial"/>
          <w:lang w:val="en-GB"/>
        </w:rPr>
        <w:t>s</w:t>
      </w:r>
      <w:r w:rsidR="00A71D9C" w:rsidRPr="00471026">
        <w:rPr>
          <w:rFonts w:cs="Arial"/>
          <w:lang w:val="en-GB"/>
        </w:rPr>
        <w:t>). HRS</w:t>
      </w:r>
      <w:r w:rsidR="00142634">
        <w:rPr>
          <w:rFonts w:cs="Arial"/>
          <w:lang w:val="en-GB"/>
        </w:rPr>
        <w:t>s</w:t>
      </w:r>
      <w:r w:rsidR="00A71D9C" w:rsidRPr="00471026">
        <w:rPr>
          <w:rFonts w:cs="Arial"/>
          <w:lang w:val="en-GB"/>
        </w:rPr>
        <w:t xml:space="preserve">’ safety is a prerequisite for </w:t>
      </w:r>
      <w:r w:rsidR="002724DD" w:rsidRPr="002724DD">
        <w:rPr>
          <w:rFonts w:cs="Arial"/>
          <w:highlight w:val="yellow"/>
          <w:lang w:val="en-GB"/>
        </w:rPr>
        <w:t>their</w:t>
      </w:r>
      <w:r w:rsidR="00A71D9C" w:rsidRPr="00471026">
        <w:rPr>
          <w:rFonts w:cs="Arial"/>
          <w:lang w:val="en-GB"/>
        </w:rPr>
        <w:t xml:space="preserve"> successful deployment in society. The expansion of this technology inevitably will depend on its safe operation, thus there is a need to minimize potential risks in the value chain of hydrogen. As part of the international SUSHy project, we aim to identify key parameters and safety requirements to </w:t>
      </w:r>
      <w:r w:rsidRPr="002749CC">
        <w:rPr>
          <w:rFonts w:cs="Arial"/>
          <w:highlight w:val="yellow"/>
          <w:lang w:val="en-GB"/>
        </w:rPr>
        <w:t>minimize</w:t>
      </w:r>
      <w:r w:rsidR="00A71D9C" w:rsidRPr="00471026">
        <w:rPr>
          <w:rFonts w:cs="Arial"/>
          <w:lang w:val="en-GB"/>
        </w:rPr>
        <w:t xml:space="preserve"> risks and ensure HRS safety. As a first step, an incident analysis protocol has been developed based on proven methodologies from high reliability industries (</w:t>
      </w:r>
      <w:r w:rsidR="006144A6" w:rsidRPr="00471026">
        <w:rPr>
          <w:rFonts w:cs="Arial"/>
          <w:lang w:val="en-GB"/>
        </w:rPr>
        <w:t xml:space="preserve">such as nuclear and offshore). </w:t>
      </w:r>
      <w:r w:rsidR="00A71D9C" w:rsidRPr="00471026">
        <w:rPr>
          <w:rFonts w:cs="Arial"/>
          <w:lang w:val="en-GB"/>
        </w:rPr>
        <w:t>This protocol</w:t>
      </w:r>
      <w:r w:rsidR="00682284">
        <w:rPr>
          <w:rFonts w:cs="Arial"/>
          <w:lang w:val="en-GB"/>
        </w:rPr>
        <w:t>,</w:t>
      </w:r>
      <w:r w:rsidR="006A42DD">
        <w:rPr>
          <w:rFonts w:cs="Arial"/>
          <w:lang w:val="en-GB"/>
        </w:rPr>
        <w:t xml:space="preserve"> </w:t>
      </w:r>
      <w:r w:rsidR="00682284" w:rsidRPr="00471026">
        <w:rPr>
          <w:rFonts w:cs="Arial"/>
          <w:lang w:val="en-GB"/>
        </w:rPr>
        <w:t>Incident Contributing Factors Analysis</w:t>
      </w:r>
      <w:r w:rsidR="00682284">
        <w:rPr>
          <w:rFonts w:cs="Arial"/>
          <w:lang w:val="en-GB"/>
        </w:rPr>
        <w:t xml:space="preserve"> (</w:t>
      </w:r>
      <w:r w:rsidR="00A71D9C" w:rsidRPr="00471026">
        <w:rPr>
          <w:rFonts w:cs="Arial"/>
          <w:lang w:val="en-GB"/>
        </w:rPr>
        <w:t>ICFA)</w:t>
      </w:r>
      <w:r w:rsidR="00682284">
        <w:rPr>
          <w:rFonts w:cs="Arial"/>
          <w:lang w:val="en-GB"/>
        </w:rPr>
        <w:t>,</w:t>
      </w:r>
      <w:r w:rsidR="00A71D9C" w:rsidRPr="00471026">
        <w:rPr>
          <w:rFonts w:cs="Arial"/>
          <w:lang w:val="en-GB"/>
        </w:rPr>
        <w:t xml:space="preserve"> will guide the systematic analysis of the different factors involved in the events. The ICFA has been validated by a multidisciplinary team of experts through its application to some incidents obtained from various international databases (KHK, HIAD 2.0, ARIA, and H2 </w:t>
      </w:r>
      <w:r w:rsidR="00471026">
        <w:rPr>
          <w:rFonts w:cs="Arial"/>
          <w:lang w:val="en-GB"/>
        </w:rPr>
        <w:t>LL</w:t>
      </w:r>
      <w:r w:rsidR="00A71D9C" w:rsidRPr="00471026">
        <w:rPr>
          <w:rFonts w:cs="Arial"/>
          <w:lang w:val="en-GB"/>
        </w:rPr>
        <w:t>). This paper briefly describes the basis of the ICFA protocol development and the procedure for its implementation, derived from the results of the pilot study. In the framework of the SUSHy project, it is planned to apply this protocol to a systematic analysis of more than 200 incidents and accidents</w:t>
      </w:r>
      <w:r>
        <w:rPr>
          <w:rFonts w:cs="Arial"/>
          <w:lang w:val="en-GB"/>
        </w:rPr>
        <w:t xml:space="preserve"> </w:t>
      </w:r>
      <w:r w:rsidRPr="002749CC">
        <w:rPr>
          <w:rFonts w:cs="Arial"/>
          <w:highlight w:val="yellow"/>
          <w:lang w:val="en-GB"/>
        </w:rPr>
        <w:t>that</w:t>
      </w:r>
      <w:r w:rsidR="00A71D9C" w:rsidRPr="00471026">
        <w:rPr>
          <w:rFonts w:cs="Arial"/>
          <w:lang w:val="en-GB"/>
        </w:rPr>
        <w:t xml:space="preserve"> occurred in HRS, which have been identified and selected from the previous mentioned international databases. Its systematic application will allow ranking risk factors and gathering lessons learned in order to improve HRS safety.</w:t>
      </w:r>
    </w:p>
    <w:bookmarkEnd w:id="0"/>
    <w:p w14:paraId="476B2F2E" w14:textId="77777777" w:rsidR="00600535" w:rsidRPr="00471026" w:rsidRDefault="00600535" w:rsidP="00222319">
      <w:pPr>
        <w:pStyle w:val="CETHeading1"/>
        <w:spacing w:before="120"/>
        <w:rPr>
          <w:rFonts w:cs="Arial"/>
          <w:lang w:val="en-GB"/>
        </w:rPr>
      </w:pPr>
      <w:r w:rsidRPr="00471026">
        <w:rPr>
          <w:rFonts w:cs="Arial"/>
          <w:lang w:val="en-GB"/>
        </w:rPr>
        <w:t>Introduction</w:t>
      </w:r>
    </w:p>
    <w:p w14:paraId="26323ADB" w14:textId="3C37AA74" w:rsidR="002C7707" w:rsidRPr="00471026" w:rsidRDefault="000D11E3" w:rsidP="00AA0B5B">
      <w:pPr>
        <w:pStyle w:val="CETBodytext"/>
        <w:rPr>
          <w:rFonts w:cs="Arial"/>
          <w:lang w:val="en-GB"/>
        </w:rPr>
      </w:pPr>
      <w:r w:rsidRPr="00471026">
        <w:rPr>
          <w:rFonts w:cs="Arial"/>
          <w:lang w:val="en-GB"/>
        </w:rPr>
        <w:t xml:space="preserve">The energy and transport sectors are being transformed by the current trend of ever-increasing global energy consumption and the urgent need to move away from fossil fuels. Green hydrogen is emerging as an energy carrier that provides a sustainable alternative </w:t>
      </w:r>
      <w:r w:rsidR="00F30596" w:rsidRPr="00471026">
        <w:rPr>
          <w:rFonts w:cs="Arial"/>
          <w:lang w:val="en-GB"/>
        </w:rPr>
        <w:t>to oil, coal and natural gas amongst others</w:t>
      </w:r>
      <w:r w:rsidRPr="00471026">
        <w:rPr>
          <w:rFonts w:cs="Arial"/>
          <w:lang w:val="en-GB"/>
        </w:rPr>
        <w:t xml:space="preserve">. The widespread use of this </w:t>
      </w:r>
      <w:r w:rsidR="00F30596" w:rsidRPr="00471026">
        <w:rPr>
          <w:rFonts w:cs="Arial"/>
          <w:lang w:val="en-GB"/>
        </w:rPr>
        <w:t xml:space="preserve">emerging </w:t>
      </w:r>
      <w:r w:rsidRPr="00471026">
        <w:rPr>
          <w:rFonts w:cs="Arial"/>
          <w:lang w:val="en-GB"/>
        </w:rPr>
        <w:t xml:space="preserve">technology </w:t>
      </w:r>
      <w:r w:rsidR="00F30596" w:rsidRPr="00471026">
        <w:rPr>
          <w:rFonts w:cs="Arial"/>
          <w:lang w:val="en-GB"/>
        </w:rPr>
        <w:t xml:space="preserve">not only </w:t>
      </w:r>
      <w:r w:rsidRPr="00471026">
        <w:rPr>
          <w:rFonts w:cs="Arial"/>
          <w:lang w:val="en-GB"/>
        </w:rPr>
        <w:t>depends on the cleanliness and affordability of the processes involved, but also on ensuring its safety. This includes the entire hydrogen value chain: production, supply, conversion, storage and final use in applications such as fuel cell vehicles (FCVs). The expansion of FCVs will depend on the establishment of an extensive network of HRS</w:t>
      </w:r>
      <w:r w:rsidR="00FB7672" w:rsidRPr="00471026">
        <w:rPr>
          <w:rFonts w:cs="Arial"/>
          <w:lang w:val="en-GB"/>
        </w:rPr>
        <w:t>s</w:t>
      </w:r>
      <w:r w:rsidRPr="00471026">
        <w:rPr>
          <w:rFonts w:cs="Arial"/>
          <w:lang w:val="en-GB"/>
        </w:rPr>
        <w:t xml:space="preserve">. </w:t>
      </w:r>
      <w:r w:rsidR="00AA0B5B" w:rsidRPr="00471026">
        <w:rPr>
          <w:rFonts w:cs="Arial"/>
          <w:lang w:val="en-GB"/>
        </w:rPr>
        <w:t xml:space="preserve">The potential development of </w:t>
      </w:r>
      <w:r w:rsidR="00DA382B" w:rsidRPr="00471026">
        <w:rPr>
          <w:rFonts w:cs="Arial"/>
          <w:lang w:val="en-GB"/>
        </w:rPr>
        <w:t xml:space="preserve">these </w:t>
      </w:r>
      <w:r w:rsidR="00142634">
        <w:rPr>
          <w:rFonts w:cs="Arial"/>
          <w:lang w:val="en-GB"/>
        </w:rPr>
        <w:t xml:space="preserve">HRSs </w:t>
      </w:r>
      <w:r w:rsidR="00AA0B5B" w:rsidRPr="00471026">
        <w:rPr>
          <w:rFonts w:cs="Arial"/>
          <w:lang w:val="en-GB"/>
        </w:rPr>
        <w:t>will go hand in hand with the identification of safety parameters and requirements.</w:t>
      </w:r>
    </w:p>
    <w:p w14:paraId="4A7F0DBE" w14:textId="22FDEBC1" w:rsidR="00FC5BF1" w:rsidRPr="00471026" w:rsidRDefault="00254ED4" w:rsidP="00044AF4">
      <w:pPr>
        <w:pStyle w:val="CETBodytext"/>
        <w:rPr>
          <w:rFonts w:cs="Arial"/>
          <w:lang w:val="en-GB"/>
        </w:rPr>
      </w:pPr>
      <w:r w:rsidRPr="001F794A">
        <w:rPr>
          <w:rFonts w:cs="Arial"/>
          <w:highlight w:val="yellow"/>
          <w:lang w:val="en-GB"/>
        </w:rPr>
        <w:t>The present study focuses on the safety of HRSs, with or without hydrogen production. It aims to develop a protocol for the systematic analysis of operational events. These events, collected from different databases, have taken place in HRSs. This analysis provides a comprehensive understanding of the main determinants of incidents and accidents at HRSs according to their actual operation</w:t>
      </w:r>
      <w:r w:rsidR="00FB7672" w:rsidRPr="001F794A">
        <w:rPr>
          <w:rFonts w:cs="Arial"/>
          <w:highlight w:val="yellow"/>
          <w:lang w:val="en-GB"/>
        </w:rPr>
        <w:t>.</w:t>
      </w:r>
      <w:r w:rsidR="00FB7672" w:rsidRPr="00471026">
        <w:rPr>
          <w:rFonts w:cs="Arial"/>
          <w:lang w:val="en-GB"/>
        </w:rPr>
        <w:t xml:space="preserve"> </w:t>
      </w:r>
    </w:p>
    <w:p w14:paraId="61A9B77A" w14:textId="0D9A4FDF" w:rsidR="00600535" w:rsidRPr="00471026" w:rsidRDefault="002C7707" w:rsidP="00FC5BF1">
      <w:pPr>
        <w:pStyle w:val="CETheadingx"/>
        <w:rPr>
          <w:rFonts w:cs="Arial"/>
          <w:lang w:val="en-GB"/>
        </w:rPr>
      </w:pPr>
      <w:r w:rsidRPr="00471026">
        <w:rPr>
          <w:rFonts w:cs="Arial"/>
          <w:lang w:val="en-GB"/>
        </w:rPr>
        <w:t>Safety of hydrogen refuelling stations</w:t>
      </w:r>
    </w:p>
    <w:p w14:paraId="57971E19" w14:textId="0E5BFA8E" w:rsidR="00FC5BF1" w:rsidRPr="00471026" w:rsidRDefault="00FB7672" w:rsidP="00FC5BF1">
      <w:pPr>
        <w:pStyle w:val="CETBodytext"/>
        <w:rPr>
          <w:rFonts w:cs="Arial"/>
          <w:lang w:val="en-GB"/>
        </w:rPr>
      </w:pPr>
      <w:r w:rsidRPr="00471026">
        <w:rPr>
          <w:rFonts w:cs="Arial"/>
          <w:lang w:val="en-GB"/>
        </w:rPr>
        <w:t xml:space="preserve">The successful deployment of hydrogen vehicles will depend on the simultaneous development of a network of refuelling stations. Ensuring the safety of these infrastructures will </w:t>
      </w:r>
      <w:r w:rsidR="00453485" w:rsidRPr="004F41A1">
        <w:rPr>
          <w:rFonts w:cs="Arial"/>
          <w:highlight w:val="yellow"/>
          <w:lang w:val="en-GB"/>
        </w:rPr>
        <w:t>enable</w:t>
      </w:r>
      <w:r w:rsidRPr="00471026">
        <w:rPr>
          <w:rFonts w:cs="Arial"/>
          <w:lang w:val="en-GB"/>
        </w:rPr>
        <w:t xml:space="preserve"> to exploit the potential of hydrogen as an energy vector for transport, overcoming the current limitations of a technology</w:t>
      </w:r>
      <w:r w:rsidR="00DA382B" w:rsidRPr="00471026">
        <w:rPr>
          <w:rFonts w:cs="Arial"/>
          <w:lang w:val="en-GB"/>
        </w:rPr>
        <w:t xml:space="preserve"> </w:t>
      </w:r>
      <w:r w:rsidR="000709A4" w:rsidRPr="00471026">
        <w:rPr>
          <w:rFonts w:cs="Arial"/>
          <w:lang w:val="en-GB"/>
        </w:rPr>
        <w:t>"still at</w:t>
      </w:r>
      <w:r w:rsidRPr="00471026">
        <w:rPr>
          <w:rFonts w:cs="Arial"/>
          <w:lang w:val="en-GB"/>
        </w:rPr>
        <w:t xml:space="preserve"> an infant stage"</w:t>
      </w:r>
      <w:r w:rsidR="00FC5BF1" w:rsidRPr="00471026">
        <w:rPr>
          <w:rFonts w:cs="Arial"/>
          <w:lang w:val="en-GB"/>
        </w:rPr>
        <w:t xml:space="preserve"> </w:t>
      </w:r>
      <w:r w:rsidR="004049BA">
        <w:rPr>
          <w:rFonts w:cs="Arial"/>
          <w:lang w:val="en-GB"/>
        </w:rPr>
        <w:fldChar w:fldCharType="begin" w:fldLock="1"/>
      </w:r>
      <w:r w:rsidR="00107736">
        <w:rPr>
          <w:rFonts w:cs="Arial"/>
          <w:lang w:val="en-GB"/>
        </w:rPr>
        <w:instrText>ADDIN CSL_CITATION {"citationItems":[{"id":"ITEM-1","itemData":{"DOI":"10.1016/j.rser.2019.109292","ISSN":"18790690","abstract":"During the last years, hydrogen based transportation presented a significant growth consisting of the commercialisation of fuel cell electric vehicles and the development on new infrastructure schemes. This study demonstrates the state-of-the art and the future potential of the emerging hydrogen-based market in road transportation. To this end, a detailed analysis of the current technologies associated with hydrogen refuelling stations including stations’ components and categories is presented. Subsequently, future forecasts concerning the development of hydrogen infrastructure along with its corresponding financial evaluation is documented through a thorough literature review. All the referred sources were discussed and compared, concluding to a general outcome showing the prospects of hydrogen in the transportation sector. Acknowledging the above, this review identified a growing trend in the expansion of hydrogen infrastructure, albeit at this time is still at an initial stage of development, mostly due to the low H2 fuel demand for transportation. However, based on the acquired information and the analysis of the presented data, an increase of the H2 fuel demand in the future will require high investments in the infrastructure sector, which may exceed several billion EUR through the construction of an adequate number of hydrogen refuelling stations. In this regard, the presented studies indicated a number of hydrogen refuelling stations for the next decades based on different scenarios of the future alternative vehicles mix, ranging from several thousands to hundreds of thousands. Hence, it is concluded that there is a two-way relationship between hydrogen infrastructure and H2 based vehicles. Investments in hydrogen refuelling stations are profitable if the fuel cell vehicles number will grow, and on the other hand, fuel cell vehicles market will be hindered if there is no adequate hydrogen infrastructure development.","author":[{"dropping-particle":"","family":"Apostolou","given":"D.","non-dropping-particle":"","parse-names":false,"suffix":""},{"dropping-particle":"","family":"Xydis","given":"G.","non-dropping-particle":"","parse-names":false,"suffix":""}],"container-title":"Renewable and Sustainable Energy Reviews","id":"ITEM-1","issued":{"date-parts":[["2019","10","1"]]},"publisher":"Elsevier Ltd","title":"A literature review on hydrogen refuelling stations and infrastructure. Current status and future prospects","type":"article","volume":"113"},"locator":"13","uris":["http://www.mendeley.com/documents/?uuid=d22dc57f-b311-3fd0-96e5-1b51fa95c94c"]}],"mendeley":{"formattedCitation":"(Apostolou and Xydis, 2019, p. 13)","plainTextFormattedCitation":"(Apostolou and Xydis, 2019, p. 13)","previouslyFormattedCitation":"(Apostolou and Xydis, 2019, p. 13)"},"properties":{"noteIndex":0},"schema":"https://github.com/citation-style-language/schema/raw/master/csl-citation.json"}</w:instrText>
      </w:r>
      <w:r w:rsidR="004049BA">
        <w:rPr>
          <w:rFonts w:cs="Arial"/>
          <w:lang w:val="en-GB"/>
        </w:rPr>
        <w:fldChar w:fldCharType="separate"/>
      </w:r>
      <w:r w:rsidR="00107736" w:rsidRPr="00107736">
        <w:rPr>
          <w:rFonts w:cs="Arial"/>
          <w:noProof/>
          <w:lang w:val="en-GB"/>
        </w:rPr>
        <w:t>(Apostolou and Xydis, 2019, p. 13)</w:t>
      </w:r>
      <w:r w:rsidR="004049BA">
        <w:rPr>
          <w:rFonts w:cs="Arial"/>
          <w:lang w:val="en-GB"/>
        </w:rPr>
        <w:fldChar w:fldCharType="end"/>
      </w:r>
      <w:r w:rsidR="004049BA">
        <w:rPr>
          <w:rFonts w:cs="Arial"/>
          <w:lang w:val="en-GB"/>
        </w:rPr>
        <w:t xml:space="preserve">. </w:t>
      </w:r>
    </w:p>
    <w:p w14:paraId="030ECFFA" w14:textId="752F820F" w:rsidR="00FB7672" w:rsidRPr="00471026" w:rsidRDefault="00FB7672" w:rsidP="00FC5BF1">
      <w:pPr>
        <w:pStyle w:val="CETBodytext"/>
        <w:rPr>
          <w:rFonts w:cs="Arial"/>
          <w:lang w:val="en-GB"/>
        </w:rPr>
      </w:pPr>
      <w:r w:rsidRPr="00471026">
        <w:rPr>
          <w:rFonts w:cs="Arial"/>
          <w:lang w:val="en-GB"/>
        </w:rPr>
        <w:lastRenderedPageBreak/>
        <w:t xml:space="preserve">The development and implementation of HRSs </w:t>
      </w:r>
      <w:r w:rsidRPr="004C0CD2">
        <w:rPr>
          <w:rFonts w:cs="Arial"/>
          <w:lang w:val="en-GB"/>
        </w:rPr>
        <w:t>requir</w:t>
      </w:r>
      <w:r w:rsidR="00F1376F" w:rsidRPr="004C0CD2">
        <w:rPr>
          <w:rFonts w:cs="Arial"/>
          <w:lang w:val="en-GB"/>
        </w:rPr>
        <w:t>e</w:t>
      </w:r>
      <w:r w:rsidR="00405DE9" w:rsidRPr="004C0CD2">
        <w:rPr>
          <w:rFonts w:cs="Arial"/>
          <w:lang w:val="en-GB"/>
        </w:rPr>
        <w:t>s</w:t>
      </w:r>
      <w:r w:rsidR="004F41A1">
        <w:rPr>
          <w:rFonts w:cs="Arial"/>
          <w:lang w:val="en-GB"/>
        </w:rPr>
        <w:t xml:space="preserve"> an 'inherent safety design',</w:t>
      </w:r>
      <w:r w:rsidR="00453485" w:rsidRPr="00453485">
        <w:rPr>
          <w:rFonts w:cs="Arial"/>
          <w:lang w:val="en-GB"/>
        </w:rPr>
        <w:t xml:space="preserve"> </w:t>
      </w:r>
      <w:r w:rsidR="00453485" w:rsidRPr="004F41A1">
        <w:rPr>
          <w:rFonts w:cs="Arial"/>
          <w:highlight w:val="yellow"/>
          <w:lang w:val="en-GB"/>
        </w:rPr>
        <w:t>in which safety is embedded at the design stage</w:t>
      </w:r>
      <w:r w:rsidR="00453485">
        <w:rPr>
          <w:rFonts w:cs="Arial"/>
          <w:lang w:val="en-GB"/>
        </w:rPr>
        <w:t xml:space="preserve"> </w:t>
      </w:r>
      <w:r w:rsidR="004049BA">
        <w:rPr>
          <w:rFonts w:cs="Arial"/>
          <w:lang w:val="en-GB"/>
        </w:rPr>
        <w:fldChar w:fldCharType="begin" w:fldLock="1"/>
      </w:r>
      <w:r w:rsidR="00107736">
        <w:rPr>
          <w:rFonts w:cs="Arial"/>
          <w:lang w:val="en-GB"/>
        </w:rPr>
        <w:instrText>ADDIN CSL_CITATION {"citationItems":[{"id":"ITEM-1","itemData":{"author":[{"dropping-particle":"","family":"Kletz","given":"T.A.","non-dropping-particle":"","parse-names":false,"suffix":""},{"dropping-particle":"","family":"Amyotte","given":"P.","non-dropping-particle":"","parse-names":false,"suffix":""}],"edition":"Second Edition ","id":"ITEM-1","issued":{"date-parts":[["2010"]]},"publisher":"CRC Press","title":"Process Plants: A Handbook for Inherently Safer Design","type":"book"},"uris":["http://www.mendeley.com/documents/?uuid=97566452-64cb-3163-b647-fc6ffe3fb42a"]}],"mendeley":{"formattedCitation":"(Kletz and Amyotte, 2010)","plainTextFormattedCitation":"(Kletz and Amyotte, 2010)","previouslyFormattedCitation":"(Kletz and Amyotte, 2010)"},"properties":{"noteIndex":0},"schema":"https://github.com/citation-style-language/schema/raw/master/csl-citation.json"}</w:instrText>
      </w:r>
      <w:r w:rsidR="004049BA">
        <w:rPr>
          <w:rFonts w:cs="Arial"/>
          <w:lang w:val="en-GB"/>
        </w:rPr>
        <w:fldChar w:fldCharType="separate"/>
      </w:r>
      <w:r w:rsidR="00107736" w:rsidRPr="00107736">
        <w:rPr>
          <w:rFonts w:cs="Arial"/>
          <w:noProof/>
          <w:lang w:val="en-GB"/>
        </w:rPr>
        <w:t>(Kletz and Amyotte, 2010)</w:t>
      </w:r>
      <w:r w:rsidR="004049BA">
        <w:rPr>
          <w:rFonts w:cs="Arial"/>
          <w:lang w:val="en-GB"/>
        </w:rPr>
        <w:fldChar w:fldCharType="end"/>
      </w:r>
      <w:r w:rsidRPr="00471026">
        <w:rPr>
          <w:rFonts w:cs="Arial"/>
          <w:lang w:val="en-GB"/>
        </w:rPr>
        <w:t xml:space="preserve">. </w:t>
      </w:r>
      <w:r w:rsidR="00453485" w:rsidRPr="004F41A1">
        <w:rPr>
          <w:rFonts w:cs="Arial"/>
          <w:highlight w:val="yellow"/>
          <w:lang w:val="en-GB"/>
        </w:rPr>
        <w:t xml:space="preserve">Such a design, </w:t>
      </w:r>
      <w:r w:rsidR="00405DE9" w:rsidRPr="004C0CD2">
        <w:rPr>
          <w:rFonts w:cs="Arial"/>
          <w:highlight w:val="yellow"/>
          <w:lang w:val="en-GB"/>
        </w:rPr>
        <w:t xml:space="preserve">must not only address </w:t>
      </w:r>
      <w:r w:rsidR="00453485" w:rsidRPr="00453485">
        <w:rPr>
          <w:rFonts w:cs="Arial"/>
          <w:lang w:val="en-GB"/>
        </w:rPr>
        <w:t xml:space="preserve">the chemical </w:t>
      </w:r>
      <w:r w:rsidR="00405DE9" w:rsidRPr="004C0CD2">
        <w:rPr>
          <w:rFonts w:cs="Arial"/>
          <w:highlight w:val="yellow"/>
          <w:lang w:val="en-GB"/>
        </w:rPr>
        <w:t>properties</w:t>
      </w:r>
      <w:r w:rsidR="00405DE9">
        <w:rPr>
          <w:rFonts w:cs="Arial"/>
          <w:lang w:val="en-GB"/>
        </w:rPr>
        <w:t xml:space="preserve"> </w:t>
      </w:r>
      <w:r w:rsidR="00453485" w:rsidRPr="00453485">
        <w:rPr>
          <w:rFonts w:cs="Arial"/>
          <w:lang w:val="en-GB"/>
        </w:rPr>
        <w:t xml:space="preserve">of hydrogen (a highly flammable element that can form explosive mixtures with oxygen), </w:t>
      </w:r>
      <w:r w:rsidR="00405DE9" w:rsidRPr="004C0CD2">
        <w:rPr>
          <w:rFonts w:cs="Arial"/>
          <w:highlight w:val="yellow"/>
          <w:lang w:val="en-GB"/>
        </w:rPr>
        <w:t xml:space="preserve">but also </w:t>
      </w:r>
      <w:r w:rsidR="00453485" w:rsidRPr="004C0CD2">
        <w:rPr>
          <w:rFonts w:cs="Arial"/>
          <w:highlight w:val="yellow"/>
          <w:lang w:val="en-GB"/>
        </w:rPr>
        <w:t xml:space="preserve">the </w:t>
      </w:r>
      <w:r w:rsidR="00453485" w:rsidRPr="004F41A1">
        <w:rPr>
          <w:rFonts w:cs="Arial"/>
          <w:highlight w:val="yellow"/>
          <w:lang w:val="en-GB"/>
        </w:rPr>
        <w:t>interrelation between technology, organization, and human behaviour</w:t>
      </w:r>
      <w:r w:rsidR="00453485">
        <w:rPr>
          <w:rFonts w:cs="Arial"/>
          <w:lang w:val="en-GB"/>
        </w:rPr>
        <w:t xml:space="preserve"> </w:t>
      </w:r>
      <w:r w:rsidR="00C1436D" w:rsidRPr="00471026">
        <w:rPr>
          <w:rFonts w:cs="Arial"/>
          <w:lang w:val="en-GB"/>
        </w:rPr>
        <w:fldChar w:fldCharType="begin" w:fldLock="1"/>
      </w:r>
      <w:r w:rsidR="00C1436D" w:rsidRPr="00471026">
        <w:rPr>
          <w:rFonts w:cs="Arial"/>
          <w:lang w:val="en-GB"/>
        </w:rPr>
        <w:instrText>ADDIN CSL_CITATION {"citationItems":[{"id":"ITEM-1","itemData":{"DOI":"https://doi.org/10.1016/S0925-7535(97)00052-0","ISSN":"0925-7535","abstract":"In spite of all efforts to design safer systems, we still witness severe, large-scale accidents. A basic question is: Do we actually have adequate models of accident causation in the present dynamic society? The socio-technical system involved in risk management includes several levels ranging from legislators, over managers and work planners, to system operators. This system is presently stressed by a fast pace of technological change, by an increasingly aggressive, competitive environment, and by changing regulatory practices and public pressure. Traditionally, each level of this is studied separately by a particular academic discipline, and modelling is done by generalising across systems and their particular hazard sources. It is argued that risk management must be modelled by cross-disciplinary studies, considering risk management to be a control problem and serving to represent the control structure involving all levels of society for each particular hazard category. Furthermore, it is argued that this requires a system-oriented approach based on functional abstraction rather than structural decomposition. Therefore, task analysis focused on action sequences and occasional deviation in terms of human errors should be replaced by a model of behaviour shaping mechanisms in terms of work system constraints, boundaries of acceptable performance, and subjective criteria guiding adaptation to change. It is found that at present a convergence of research paradigms of human sciences guided by cognitive science concepts supports this approach. A review of this convergence within decision theory and management research is presented in comparison with the evolution of paradigms within safety research.","author":[{"dropping-particle":"","family":"Rasmussen","given":"Jens","non-dropping-particle":"","parse-names":false,"suffix":""}],"container-title":"Safety Science","id":"ITEM-1","issue":"2","issued":{"date-parts":[["1997"]]},"page":"183-213","title":"Risk management in a dynamic society: a modelling problem","type":"article-journal","volume":"27"},"uris":["http://www.mendeley.com/documents/?uuid=9953210a-ae32-4b51-944c-6ab0b08e7758"]}],"mendeley":{"formattedCitation":"(Rasmussen, 1997)","plainTextFormattedCitation":"(Rasmussen, 1997)","previouslyFormattedCitation":"(Rasmussen, 1997)"},"properties":{"noteIndex":0},"schema":"https://github.com/citation-style-language/schema/raw/master/csl-citation.json"}</w:instrText>
      </w:r>
      <w:r w:rsidR="00C1436D" w:rsidRPr="00471026">
        <w:rPr>
          <w:rFonts w:cs="Arial"/>
          <w:lang w:val="en-GB"/>
        </w:rPr>
        <w:fldChar w:fldCharType="separate"/>
      </w:r>
      <w:r w:rsidR="00C1436D" w:rsidRPr="00471026">
        <w:rPr>
          <w:rFonts w:cs="Arial"/>
          <w:noProof/>
          <w:lang w:val="en-GB"/>
        </w:rPr>
        <w:t>(Rasmussen, 1997)</w:t>
      </w:r>
      <w:r w:rsidR="00C1436D" w:rsidRPr="00471026">
        <w:rPr>
          <w:rFonts w:cs="Arial"/>
          <w:lang w:val="en-GB"/>
        </w:rPr>
        <w:fldChar w:fldCharType="end"/>
      </w:r>
      <w:r w:rsidRPr="00471026">
        <w:rPr>
          <w:rFonts w:cs="Arial"/>
          <w:lang w:val="en-GB"/>
        </w:rPr>
        <w:t xml:space="preserve">. </w:t>
      </w:r>
      <w:r w:rsidR="00453485" w:rsidRPr="004F41A1">
        <w:rPr>
          <w:rFonts w:cs="Arial"/>
          <w:highlight w:val="yellow"/>
          <w:lang w:val="en-GB"/>
        </w:rPr>
        <w:t xml:space="preserve">Therefore, a safe HRS will require both the most advanced technological features (i.e., leak detection sensors and/or dedicated ventilation systems) and established procedures that guide </w:t>
      </w:r>
      <w:r w:rsidR="00453485" w:rsidRPr="00482E68">
        <w:rPr>
          <w:rFonts w:cs="Arial"/>
          <w:highlight w:val="yellow"/>
          <w:lang w:val="en-GB"/>
        </w:rPr>
        <w:t>behaviour during</w:t>
      </w:r>
      <w:r w:rsidR="00453485" w:rsidRPr="004F41A1">
        <w:rPr>
          <w:rFonts w:cs="Arial"/>
          <w:highlight w:val="yellow"/>
          <w:lang w:val="en-GB"/>
        </w:rPr>
        <w:t xml:space="preserve"> emergencies (i.e., how to act in case of</w:t>
      </w:r>
      <w:r w:rsidR="00405DE9">
        <w:rPr>
          <w:rFonts w:cs="Arial"/>
          <w:highlight w:val="yellow"/>
          <w:lang w:val="en-GB"/>
        </w:rPr>
        <w:t xml:space="preserve"> </w:t>
      </w:r>
      <w:r w:rsidR="00405DE9" w:rsidRPr="004C0CD2">
        <w:rPr>
          <w:rFonts w:cs="Arial"/>
          <w:highlight w:val="yellow"/>
          <w:lang w:val="en-GB"/>
        </w:rPr>
        <w:t>an emergency</w:t>
      </w:r>
      <w:r w:rsidR="00453485" w:rsidRPr="004F41A1">
        <w:rPr>
          <w:rFonts w:cs="Arial"/>
          <w:highlight w:val="yellow"/>
          <w:lang w:val="en-GB"/>
        </w:rPr>
        <w:t>)</w:t>
      </w:r>
      <w:r w:rsidRPr="004F41A1">
        <w:rPr>
          <w:rFonts w:cs="Arial"/>
          <w:highlight w:val="yellow"/>
          <w:lang w:val="en-GB"/>
        </w:rPr>
        <w:t xml:space="preserve">. </w:t>
      </w:r>
      <w:r w:rsidR="00453485" w:rsidRPr="004F41A1">
        <w:rPr>
          <w:rFonts w:cs="Arial"/>
          <w:highlight w:val="yellow"/>
          <w:lang w:val="en-GB"/>
        </w:rPr>
        <w:t>With</w:t>
      </w:r>
      <w:r w:rsidRPr="004F41A1">
        <w:rPr>
          <w:rFonts w:cs="Arial"/>
          <w:highlight w:val="yellow"/>
          <w:lang w:val="en-GB"/>
        </w:rPr>
        <w:t xml:space="preserve"> safety as a central element</w:t>
      </w:r>
      <w:r w:rsidRPr="00471026">
        <w:rPr>
          <w:rFonts w:cs="Arial"/>
          <w:lang w:val="en-GB"/>
        </w:rPr>
        <w:t xml:space="preserve">, numerous studies </w:t>
      </w:r>
      <w:r w:rsidR="00453485" w:rsidRPr="00453485">
        <w:rPr>
          <w:rFonts w:cs="Arial"/>
          <w:lang w:val="en-GB"/>
        </w:rPr>
        <w:t xml:space="preserve">have </w:t>
      </w:r>
      <w:r w:rsidR="00B278A0" w:rsidRPr="004C0CD2">
        <w:rPr>
          <w:rFonts w:cs="Arial"/>
          <w:highlight w:val="yellow"/>
          <w:lang w:val="en-GB"/>
        </w:rPr>
        <w:t>attempted</w:t>
      </w:r>
      <w:r w:rsidR="00B278A0" w:rsidRPr="00B278A0">
        <w:rPr>
          <w:rFonts w:cs="Arial"/>
          <w:lang w:val="en-GB"/>
        </w:rPr>
        <w:t xml:space="preserve"> </w:t>
      </w:r>
      <w:r w:rsidR="00453485" w:rsidRPr="00453485">
        <w:rPr>
          <w:rFonts w:cs="Arial"/>
          <w:lang w:val="en-GB"/>
        </w:rPr>
        <w:t xml:space="preserve">to identify </w:t>
      </w:r>
      <w:r w:rsidRPr="00471026">
        <w:rPr>
          <w:rFonts w:cs="Arial"/>
          <w:lang w:val="en-GB"/>
        </w:rPr>
        <w:t>the most potentially catastrophic risks in HRS</w:t>
      </w:r>
      <w:r w:rsidR="00DA382B" w:rsidRPr="00471026">
        <w:rPr>
          <w:rFonts w:cs="Arial"/>
          <w:lang w:val="en-GB"/>
        </w:rPr>
        <w:t>s</w:t>
      </w:r>
      <w:r w:rsidRPr="00471026">
        <w:rPr>
          <w:rFonts w:cs="Arial"/>
          <w:lang w:val="en-GB"/>
        </w:rPr>
        <w:t xml:space="preserve"> </w:t>
      </w:r>
      <w:r w:rsidR="00270B53">
        <w:rPr>
          <w:rFonts w:cs="Arial"/>
          <w:lang w:val="en-GB"/>
        </w:rPr>
        <w:fldChar w:fldCharType="begin" w:fldLock="1"/>
      </w:r>
      <w:r w:rsidR="00C94DC1">
        <w:rPr>
          <w:rFonts w:cs="Arial"/>
          <w:lang w:val="en-GB"/>
        </w:rPr>
        <w:instrText>ADDIN CSL_CITATION {"citationItems":[{"id":"ITEM-1","itemData":{"DOI":"10.1016/j.ijhydene.2009.11.081","ISSN":"03603199","abstract":"With the development of large-scale fell cell vehicle demonstration project worldwide, the global number of hydrogen refueling stations has increased rapidly in recent years. The external safety of hydrogen refueling stations has always been a public concern for its further development. This paper examines the harm effect distances of severe accidents for a gaseous hydrogen refueling station. First, different accident scenarios are assumed and their subsequent consequences are calculated, including physical explosion, jet fire, flash fire and confined vapor cloud explosion. Results show that physical explosion and worst case of confined vapor cloud explosion produce the longest harm effect distances for instantaneous release and continuous release, respectively. This indicates that they may be used as decisive consequences to the determination of safe distances. Second, the influences of different factors on harm effect distances are investigated, including those of release inventory, release pressure, release height, release angle, release diameter and wind velocity. Then, based on these results, several potential hazard mitigation measures are proposed such as elevating hydrogen equipment, using smaller vessel and adopting smaller pipe work, if reasonably practicable. © 2009 Professor T. Nejat Veziroglu.","author":[{"dropping-particle":"","family":"Zhiyong","given":"Li","non-dropping-particle":"","parse-names":false,"suffix":""},{"dropping-particle":"","family":"Xiangmin","given":"Pan","non-dropping-particle":"","parse-names":false,"suffix":""},{"dropping-particle":"","family":"Jianxin","given":"Ma","non-dropping-particle":"","parse-names":false,"suffix":""}],"container-title":"International Journal of Hydrogen Energy","id":"ITEM-1","issue":"3","issued":{"date-parts":[["2010","2"]]},"page":"1515-1521","title":"Harm effect distances evaluation of severe accidents for gaseous hydrogen refueling station","type":"article-journal","volume":"35"},"uris":["http://www.mendeley.com/documents/?uuid=baa9dc1d-54e5-36f6-9a4a-339cfb5a34b3"]}],"mendeley":{"formattedCitation":"(Zhiyong et al., 2010)","plainTextFormattedCitation":"(Zhiyong et al., 2010)","previouslyFormattedCitation":"(Zhiyong et al., 2010)"},"properties":{"noteIndex":0},"schema":"https://github.com/citation-style-language/schema/raw/master/csl-citation.json"}</w:instrText>
      </w:r>
      <w:r w:rsidR="00270B53">
        <w:rPr>
          <w:rFonts w:cs="Arial"/>
          <w:lang w:val="en-GB"/>
        </w:rPr>
        <w:fldChar w:fldCharType="separate"/>
      </w:r>
      <w:r w:rsidR="00107736" w:rsidRPr="00C94DC1">
        <w:rPr>
          <w:rFonts w:cs="Arial"/>
          <w:noProof/>
          <w:lang w:val="en-GB"/>
        </w:rPr>
        <w:t>(Zhiyong et al., 2010)</w:t>
      </w:r>
      <w:r w:rsidR="00270B53">
        <w:rPr>
          <w:rFonts w:cs="Arial"/>
          <w:lang w:val="en-GB"/>
        </w:rPr>
        <w:fldChar w:fldCharType="end"/>
      </w:r>
      <w:r w:rsidRPr="00471026">
        <w:rPr>
          <w:rFonts w:cs="Arial"/>
          <w:lang w:val="en-GB"/>
        </w:rPr>
        <w:t>. Two methodological strategies stand out: the identification of risk scenarios through HAZOP analysis</w:t>
      </w:r>
      <w:r w:rsidR="00453485">
        <w:rPr>
          <w:rFonts w:cs="Arial"/>
          <w:lang w:val="en-GB"/>
        </w:rPr>
        <w:t>,</w:t>
      </w:r>
      <w:r w:rsidRPr="00471026">
        <w:rPr>
          <w:rFonts w:cs="Arial"/>
          <w:lang w:val="en-GB"/>
        </w:rPr>
        <w:t xml:space="preserve"> and the quantitative assessment of potential risks. </w:t>
      </w:r>
      <w:r w:rsidR="00270B53">
        <w:rPr>
          <w:rFonts w:cs="Arial"/>
          <w:lang w:val="en-GB"/>
        </w:rPr>
        <w:fldChar w:fldCharType="begin" w:fldLock="1"/>
      </w:r>
      <w:r w:rsidR="00C94DC1">
        <w:rPr>
          <w:rFonts w:cs="Arial"/>
          <w:lang w:val="en-GB"/>
        </w:rPr>
        <w:instrText>ADDIN CSL_CITATION {"citationItems":[{"id":"ITEM-1","itemData":{"DOI":"10.1016/j.ijhydene.2016.05.180","ISSN":"03603199","abstract":"The first renewable hydrogen refuelling station in China is under development for fuel cell vehicles. A safety study is conducted for the hydrogen station that consists of hybrid solar and wind power, integrated hydrogen generation and tube trailer delivery, hydrogen compression, hydrogen storage, and hydrogen filling system. Hazards associated with hydrogen systems are identified and typical failure scenarios are analyzed in terms of event probabilities and consequences severities. Safety measures and emergency responses are discussed. Results show that compressors are the major risk contributor and additional safety measures are required to reduce the hazards from the failure of compressors. Releases of hydrogen can result in either jet fire or flash fire depending on the time of ignition. From the consequence perspective, jet flame length determines the longest lethal distances and flash fire leads to the longest harm distances. To mitigate the risk of catastrophic tank rupture in fire events, all tanks must be cooled with flooding quantities of water. A safety distance of 6 m from the compressors would be appropriate during siting and location decision process, from the risk perspective. However, in the worst-case scenarios, a setback perimeter of 50 m is suggested to keep the public away from the accident scene.","author":[{"dropping-particle":"","family":"Pan","given":"Xiangmin","non-dropping-particle":"","parse-names":false,"suffix":""},{"dropping-particle":"","family":"Li","given":"Zhiyong","non-dropping-particle":"","parse-names":false,"suffix":""},{"dropping-particle":"","family":"Zhang","given":"Cunman","non-dropping-particle":"","parse-names":false,"suffix":""},{"dropping-particle":"","family":"Lv","given":"Hong","non-dropping-particle":"","parse-names":false,"suffix":""},{"dropping-particle":"","family":"Liu","given":"Shaojun","non-dropping-particle":"","parse-names":false,"suffix":""},{"dropping-particle":"","family":"Ma","given":"Jianxin","non-dropping-particle":"","parse-names":false,"suffix":""}],"container-title":"International Journal of Hydrogen Energy","id":"ITEM-1","issue":"30","issued":{"date-parts":[["2016","8","10"]]},"page":"13315-13321","publisher":"Elsevier Ltd","title":"Safety study of a wind–solar hybrid renewable hydrogen refuelling station in China","type":"article-journal","volume":"41"},"uris":["http://www.mendeley.com/documents/?uuid=864a8b4c-ba45-3380-81d2-714cb7698006"]}],"mendeley":{"formattedCitation":"(Pan et al., 2016)","manualFormatting":"Pan et al. (2016)","plainTextFormattedCitation":"(Pan et al., 2016)","previouslyFormattedCitation":"(Pan et al., 2016)"},"properties":{"noteIndex":0},"schema":"https://github.com/citation-style-language/schema/raw/master/csl-citation.json"}</w:instrText>
      </w:r>
      <w:r w:rsidR="00270B53">
        <w:rPr>
          <w:rFonts w:cs="Arial"/>
          <w:lang w:val="en-GB"/>
        </w:rPr>
        <w:fldChar w:fldCharType="separate"/>
      </w:r>
      <w:r w:rsidR="00270B53">
        <w:rPr>
          <w:rFonts w:cs="Arial"/>
          <w:noProof/>
          <w:lang w:val="en-GB"/>
        </w:rPr>
        <w:t>Pan et al.</w:t>
      </w:r>
      <w:r w:rsidR="00270B53" w:rsidRPr="00270B53">
        <w:rPr>
          <w:rFonts w:cs="Arial"/>
          <w:noProof/>
          <w:lang w:val="en-GB"/>
        </w:rPr>
        <w:t xml:space="preserve"> </w:t>
      </w:r>
      <w:r w:rsidR="00270B53">
        <w:rPr>
          <w:rFonts w:cs="Arial"/>
          <w:noProof/>
          <w:lang w:val="en-GB"/>
        </w:rPr>
        <w:t>(</w:t>
      </w:r>
      <w:r w:rsidR="00270B53" w:rsidRPr="00270B53">
        <w:rPr>
          <w:rFonts w:cs="Arial"/>
          <w:noProof/>
          <w:lang w:val="en-GB"/>
        </w:rPr>
        <w:t>2016)</w:t>
      </w:r>
      <w:r w:rsidR="00270B53">
        <w:rPr>
          <w:rFonts w:cs="Arial"/>
          <w:lang w:val="en-GB"/>
        </w:rPr>
        <w:fldChar w:fldCharType="end"/>
      </w:r>
      <w:r w:rsidRPr="00471026">
        <w:rPr>
          <w:rFonts w:cs="Arial"/>
          <w:lang w:val="en-GB"/>
        </w:rPr>
        <w:t xml:space="preserve"> performed </w:t>
      </w:r>
      <w:r w:rsidR="00052866" w:rsidRPr="00471026">
        <w:rPr>
          <w:rFonts w:cs="Arial"/>
          <w:lang w:val="en-GB"/>
        </w:rPr>
        <w:t>a</w:t>
      </w:r>
      <w:r w:rsidR="00DA382B" w:rsidRPr="00471026">
        <w:rPr>
          <w:rFonts w:cs="Arial"/>
          <w:lang w:val="en-GB"/>
        </w:rPr>
        <w:t xml:space="preserve"> </w:t>
      </w:r>
      <w:r w:rsidRPr="00471026">
        <w:rPr>
          <w:rFonts w:cs="Arial"/>
          <w:lang w:val="en-GB"/>
        </w:rPr>
        <w:t xml:space="preserve">HAZOP analysis </w:t>
      </w:r>
      <w:r w:rsidRPr="00482E68">
        <w:rPr>
          <w:rFonts w:cs="Arial"/>
          <w:lang w:val="en-GB"/>
        </w:rPr>
        <w:t xml:space="preserve">to establish </w:t>
      </w:r>
      <w:r w:rsidR="00DA382B" w:rsidRPr="00482E68">
        <w:rPr>
          <w:rFonts w:cs="Arial"/>
          <w:lang w:val="en-GB"/>
        </w:rPr>
        <w:t>incident</w:t>
      </w:r>
      <w:r w:rsidRPr="00482E68">
        <w:rPr>
          <w:rFonts w:cs="Arial"/>
          <w:lang w:val="en-GB"/>
        </w:rPr>
        <w:t xml:space="preserve"> </w:t>
      </w:r>
      <w:r w:rsidRPr="00471026">
        <w:rPr>
          <w:rFonts w:cs="Arial"/>
          <w:lang w:val="en-GB"/>
        </w:rPr>
        <w:t>scenarios and calculate failure frequencies at hybrid renewable hydrogen refuelling stations</w:t>
      </w:r>
      <w:r w:rsidR="00052866" w:rsidRPr="00471026">
        <w:rPr>
          <w:rFonts w:cs="Arial"/>
          <w:lang w:val="en-GB"/>
        </w:rPr>
        <w:t xml:space="preserve">. They </w:t>
      </w:r>
      <w:r w:rsidR="00C51E37" w:rsidRPr="00471026">
        <w:rPr>
          <w:rFonts w:cs="Arial"/>
          <w:lang w:val="en-GB"/>
        </w:rPr>
        <w:t>identified</w:t>
      </w:r>
      <w:r w:rsidR="0076472F" w:rsidRPr="00471026">
        <w:rPr>
          <w:rFonts w:cs="Arial"/>
          <w:lang w:val="en-GB"/>
        </w:rPr>
        <w:t xml:space="preserve"> </w:t>
      </w:r>
      <w:r w:rsidRPr="00471026">
        <w:rPr>
          <w:rFonts w:cs="Arial"/>
          <w:lang w:val="en-GB"/>
        </w:rPr>
        <w:t>compressors</w:t>
      </w:r>
      <w:r w:rsidR="0076472F" w:rsidRPr="00471026">
        <w:rPr>
          <w:rFonts w:cs="Arial"/>
          <w:lang w:val="en-GB"/>
        </w:rPr>
        <w:t xml:space="preserve"> as</w:t>
      </w:r>
      <w:r w:rsidRPr="00471026">
        <w:rPr>
          <w:rFonts w:cs="Arial"/>
          <w:lang w:val="en-GB"/>
        </w:rPr>
        <w:t xml:space="preserve"> the main risk contributors to accidents</w:t>
      </w:r>
      <w:r w:rsidR="00987434" w:rsidRPr="00471026">
        <w:rPr>
          <w:rFonts w:cs="Arial"/>
          <w:lang w:val="en-GB"/>
        </w:rPr>
        <w:t>.</w:t>
      </w:r>
      <w:r w:rsidRPr="00471026">
        <w:rPr>
          <w:rFonts w:cs="Arial"/>
          <w:lang w:val="en-GB"/>
        </w:rPr>
        <w:t xml:space="preserve"> </w:t>
      </w:r>
      <w:r w:rsidR="00A1096C">
        <w:rPr>
          <w:rFonts w:cs="Arial"/>
          <w:lang w:val="en-GB"/>
        </w:rPr>
        <w:fldChar w:fldCharType="begin" w:fldLock="1"/>
      </w:r>
      <w:r w:rsidR="00C94DC1">
        <w:rPr>
          <w:rFonts w:cs="Arial"/>
          <w:lang w:val="en-GB"/>
        </w:rPr>
        <w:instrText>ADDIN CSL_CITATION {"citationItems":[{"id":"ITEM-1","itemData":{"DOI":"10.1016/j.ijhydene.2014.07.098","ISSN":"03603199","abstract":"To better understand the hazards and risks associated with the mobile hydrogen refueling stations, a risk analysis was preformed to improve the safety of the operation. The risks to the station personnel and to the public were discussed separately. Results show that the stationary risks of the mobile stations to the personnel and refueling customers are lower than the risk acceptance criteria over an order of magnitude, so the occupational risks and the risks to customers are completely acceptable. The third party risks can be acceptable as long as the appropriate mitigation measures, especially well designed parking area and operation time, are implemented. Leak from booster compressors is the main risk contributor to the stationary risks due to the highest failure rates according to the generic data and the worst harm effects based on the consequence evaluations. However, the failure of the tube storages will result in the largest financial loss, though the likelihood of this scenario is much less than that of failure from booster compressors. As for the road risks of the mobile stations, they can be acceptable as long as the appropriate mitigation measures, especially well-planned itinerary and transport time, are implemented.","author":[{"dropping-particle":"","family":"Sun","given":"Ke","non-dropping-particle":"","parse-names":false,"suffix":""},{"dropping-particle":"","family":"Pan","given":"Xiangmin","non-dropping-particle":"","parse-names":false,"suffix":""},{"dropping-particle":"","family":"Li","given":"Zhiyong","non-dropping-particle":"","parse-names":false,"suffix":""},{"dropping-particle":"","family":"Ma","given":"Jianxin","non-dropping-particle":"","parse-names":false,"suffix":""}],"container-title":"International Journal of Hydrogen Energy","id":"ITEM-1","issue":"35","issued":{"date-parts":[["2014","12","3"]]},"page":"20411-20419","publisher":"Elsevier Ltd","title":"Risk analysis on mobile hydrogen refueling stations in Shanghai","type":"paper-conference","volume":"39"},"uris":["http://www.mendeley.com/documents/?uuid=e56ed8a9-d1bc-307d-8b33-b76584de1d66"]}],"mendeley":{"formattedCitation":"(Sun et al., 2014)","manualFormatting":"Sun et al. (2014)","plainTextFormattedCitation":"(Sun et al., 2014)","previouslyFormattedCitation":"(Sun et al., 2014)"},"properties":{"noteIndex":0},"schema":"https://github.com/citation-style-language/schema/raw/master/csl-citation.json"}</w:instrText>
      </w:r>
      <w:r w:rsidR="00A1096C">
        <w:rPr>
          <w:rFonts w:cs="Arial"/>
          <w:lang w:val="en-GB"/>
        </w:rPr>
        <w:fldChar w:fldCharType="separate"/>
      </w:r>
      <w:r w:rsidR="00A1096C" w:rsidRPr="00A1096C">
        <w:rPr>
          <w:rFonts w:cs="Arial"/>
          <w:noProof/>
          <w:lang w:val="en-GB"/>
        </w:rPr>
        <w:t xml:space="preserve">Sun et al. </w:t>
      </w:r>
      <w:r w:rsidR="00A1096C">
        <w:rPr>
          <w:rFonts w:cs="Arial"/>
          <w:noProof/>
          <w:lang w:val="en-GB"/>
        </w:rPr>
        <w:t>(</w:t>
      </w:r>
      <w:r w:rsidR="00A1096C" w:rsidRPr="00A1096C">
        <w:rPr>
          <w:rFonts w:cs="Arial"/>
          <w:noProof/>
          <w:lang w:val="en-GB"/>
        </w:rPr>
        <w:t>2014)</w:t>
      </w:r>
      <w:r w:rsidR="00A1096C">
        <w:rPr>
          <w:rFonts w:cs="Arial"/>
          <w:lang w:val="en-GB"/>
        </w:rPr>
        <w:fldChar w:fldCharType="end"/>
      </w:r>
      <w:r w:rsidRPr="00471026">
        <w:rPr>
          <w:rFonts w:cs="Arial"/>
          <w:lang w:val="en-GB"/>
        </w:rPr>
        <w:t xml:space="preserve"> conducted a risk analysis of a mobile HRS and found </w:t>
      </w:r>
      <w:r w:rsidR="00052866" w:rsidRPr="00471026">
        <w:rPr>
          <w:rFonts w:cs="Arial"/>
          <w:lang w:val="en-GB"/>
        </w:rPr>
        <w:t xml:space="preserve">out </w:t>
      </w:r>
      <w:r w:rsidRPr="00471026">
        <w:rPr>
          <w:rFonts w:cs="Arial"/>
          <w:lang w:val="en-GB"/>
        </w:rPr>
        <w:t xml:space="preserve">that booster compressor leaks are the major risk contributors, while tube storage failures cause the greatest financial losses. </w:t>
      </w:r>
      <w:r w:rsidR="00A1096C">
        <w:rPr>
          <w:rFonts w:cs="Arial"/>
          <w:lang w:val="en-GB"/>
        </w:rPr>
        <w:fldChar w:fldCharType="begin" w:fldLock="1"/>
      </w:r>
      <w:r w:rsidR="00C94DC1">
        <w:rPr>
          <w:rFonts w:cs="Arial"/>
          <w:lang w:val="en-GB"/>
        </w:rPr>
        <w:instrText>ADDIN CSL_CITATION {"citationItems":[{"id":"ITEM-1","itemData":{"DOI":"10.1016/j.ijhydene.2019.07.027","ISSN":"03603199","abstract":"A quantitative risk assessment of human life during the operation of a hydrogen refueling station (HRS) is conducted. We calculate the risks for three accident scenarios: a hydrogen leak from the external piping surrounding a dispenser, a hydrogen leak from an accumulator connection piping and a hydrogen leak from a compressor/connection piping in the HRS. We first calculate the probability of accident by multiplying the estimated leak frequency with the incident occurrence probability considering the ignition probability and failure probability of the safety barrier systems obtained through event tree analysis for each scenario. We next simulate the blast and flame effects of the ignition of concentration fields formed by hydrogen leakage. We then use existing probit functions to estimate the consequences of eardrum rupture, fatalities due to displacement by the blast wave, fatalities due to head injuries, first-degree burns, second-degree burns, and fatal burn injuries by accident scenario, leak size, and incident event, and we estimate the risk distribution in 1-m cells. We finally assess the risk reduction effects of barrier placement and the distance to the dispenser and quantify the risk level that HRSs can achieve under existing law. Quantitative risk assessment reveals that the risk for a leak near the dispenser is less than 10−6 per year outside a distance of 6 m to the dispenser. The risk for a leak near the accumulators and compressors exceeds 10−4 per year within a distance of 10 m from the ignition point. A separation of 6 m to the dispenser and a barrier height of 3 m keep the fatal risk from burns to the workers, consumers and residents and passersby below the acceptable level of risk. Our results therefore show that current laws sufficiently mitigate the risks posed by HRSs and open up the possibility for a regulatory review.","author":[{"dropping-particle":"","family":"Tsunemi","given":"Kiyotaka","non-dropping-particle":"","parse-names":false,"suffix":""},{"dropping-particle":"","family":"Kihara","given":"Takehiro","non-dropping-particle":"","parse-names":false,"suffix":""},{"dropping-particle":"","family":"Kato","given":"Etsuko","non-dropping-particle":"","parse-names":false,"suffix":""},{"dropping-particle":"","family":"Kawamoto","given":"Akemi","non-dropping-particle":"","parse-names":false,"suffix":""},{"dropping-particle":"","family":"Saburi","given":"Tei","non-dropping-particle":"","parse-names":false,"suffix":""}],"container-title":"International Journal of Hydrogen Energy","id":"ITEM-1","issue":"41","issued":{"date-parts":[["2019","8","30"]]},"page":"23522-23531","publisher":"Elsevier Ltd","title":"Quantitative risk assessment of the interior of a hydrogen refueling station considering safety barrier systems","type":"article-journal","volume":"44"},"uris":["http://www.mendeley.com/documents/?uuid=1f5e8013-7903-3a18-8d3e-af90a42603cf"]}],"mendeley":{"formattedCitation":"(Tsunemi et al., 2019)","manualFormatting":"Tsunemi et al. (2019)","plainTextFormattedCitation":"(Tsunemi et al., 2019)","previouslyFormattedCitation":"(Tsunemi et al., 2019)"},"properties":{"noteIndex":0},"schema":"https://github.com/citation-style-language/schema/raw/master/csl-citation.json"}</w:instrText>
      </w:r>
      <w:r w:rsidR="00A1096C">
        <w:rPr>
          <w:rFonts w:cs="Arial"/>
          <w:lang w:val="en-GB"/>
        </w:rPr>
        <w:fldChar w:fldCharType="separate"/>
      </w:r>
      <w:r w:rsidR="00A1096C">
        <w:rPr>
          <w:rFonts w:cs="Arial"/>
          <w:noProof/>
          <w:lang w:val="en-GB"/>
        </w:rPr>
        <w:t>Tsunemi et al.</w:t>
      </w:r>
      <w:r w:rsidR="00A1096C" w:rsidRPr="00A1096C">
        <w:rPr>
          <w:rFonts w:cs="Arial"/>
          <w:noProof/>
          <w:lang w:val="en-GB"/>
        </w:rPr>
        <w:t xml:space="preserve"> </w:t>
      </w:r>
      <w:r w:rsidR="00A1096C">
        <w:rPr>
          <w:rFonts w:cs="Arial"/>
          <w:noProof/>
          <w:lang w:val="en-GB"/>
        </w:rPr>
        <w:t>(</w:t>
      </w:r>
      <w:r w:rsidR="00A1096C" w:rsidRPr="00A1096C">
        <w:rPr>
          <w:rFonts w:cs="Arial"/>
          <w:noProof/>
          <w:lang w:val="en-GB"/>
        </w:rPr>
        <w:t>2019)</w:t>
      </w:r>
      <w:r w:rsidR="00A1096C">
        <w:rPr>
          <w:rFonts w:cs="Arial"/>
          <w:lang w:val="en-GB"/>
        </w:rPr>
        <w:fldChar w:fldCharType="end"/>
      </w:r>
      <w:r w:rsidRPr="00471026">
        <w:rPr>
          <w:rFonts w:cs="Arial"/>
          <w:lang w:val="en-GB"/>
        </w:rPr>
        <w:t xml:space="preserve"> performed a quantitative risk assessment for three accident </w:t>
      </w:r>
      <w:r w:rsidR="00052866" w:rsidRPr="00471026">
        <w:rPr>
          <w:rFonts w:cs="Arial"/>
          <w:lang w:val="en-GB"/>
        </w:rPr>
        <w:t>scenarios. The</w:t>
      </w:r>
      <w:r w:rsidRPr="00471026">
        <w:rPr>
          <w:rFonts w:cs="Arial"/>
          <w:lang w:val="en-GB"/>
        </w:rPr>
        <w:t xml:space="preserve"> first scenario was a hydrogen leak from the external piping surrounding an open dispenser in the vicinity of workers and consumers. The second scenario was a hydrogen leak from a high-pressure accumulator connection pipe, and the third was a hydrogen leak from a high-pressure connection pipe/compressor.</w:t>
      </w:r>
    </w:p>
    <w:p w14:paraId="31A78663" w14:textId="3CEEC589" w:rsidR="00631235" w:rsidRPr="00471026" w:rsidRDefault="00631235" w:rsidP="00FC5BF1">
      <w:pPr>
        <w:pStyle w:val="CETBodytext"/>
        <w:rPr>
          <w:rFonts w:cs="Arial"/>
          <w:lang w:val="en-GB"/>
        </w:rPr>
      </w:pPr>
      <w:r w:rsidRPr="00471026">
        <w:rPr>
          <w:rFonts w:cs="Arial"/>
          <w:lang w:val="en-GB"/>
        </w:rPr>
        <w:t xml:space="preserve">Other studies have focused their analysis on the probability of human error. Techniques such as </w:t>
      </w:r>
      <w:r w:rsidRPr="00907ED7">
        <w:rPr>
          <w:rFonts w:cs="Arial"/>
          <w:lang w:val="en-GB"/>
        </w:rPr>
        <w:t>HRA (</w:t>
      </w:r>
      <w:r w:rsidR="00664008" w:rsidRPr="00907ED7">
        <w:rPr>
          <w:rFonts w:cs="Arial"/>
          <w:lang w:val="en-GB"/>
        </w:rPr>
        <w:t>H</w:t>
      </w:r>
      <w:r w:rsidRPr="00907ED7">
        <w:rPr>
          <w:rFonts w:cs="Arial"/>
          <w:lang w:val="en-GB"/>
        </w:rPr>
        <w:t xml:space="preserve">uman </w:t>
      </w:r>
      <w:r w:rsidR="00664008" w:rsidRPr="00907ED7">
        <w:rPr>
          <w:rFonts w:cs="Arial"/>
          <w:lang w:val="en-GB"/>
        </w:rPr>
        <w:t>R</w:t>
      </w:r>
      <w:r w:rsidRPr="00907ED7">
        <w:rPr>
          <w:rFonts w:cs="Arial"/>
          <w:lang w:val="en-GB"/>
        </w:rPr>
        <w:t xml:space="preserve">ate </w:t>
      </w:r>
      <w:r w:rsidR="00664008" w:rsidRPr="00907ED7">
        <w:rPr>
          <w:rFonts w:cs="Arial"/>
          <w:lang w:val="en-GB"/>
        </w:rPr>
        <w:t>Assessment</w:t>
      </w:r>
      <w:r w:rsidRPr="00907ED7">
        <w:rPr>
          <w:rFonts w:cs="Arial"/>
          <w:lang w:val="en-GB"/>
        </w:rPr>
        <w:t>)</w:t>
      </w:r>
      <w:r w:rsidRPr="00471026">
        <w:rPr>
          <w:rFonts w:cs="Arial"/>
          <w:lang w:val="en-GB"/>
        </w:rPr>
        <w:t xml:space="preserve"> or HEART (</w:t>
      </w:r>
      <w:r w:rsidR="00664008">
        <w:rPr>
          <w:rFonts w:cs="Arial"/>
          <w:lang w:val="en-GB"/>
        </w:rPr>
        <w:t>H</w:t>
      </w:r>
      <w:r w:rsidRPr="00471026">
        <w:rPr>
          <w:rFonts w:cs="Arial"/>
          <w:lang w:val="en-GB"/>
        </w:rPr>
        <w:t xml:space="preserve">uman </w:t>
      </w:r>
      <w:r w:rsidR="00664008">
        <w:rPr>
          <w:rFonts w:cs="Arial"/>
          <w:lang w:val="en-GB"/>
        </w:rPr>
        <w:t>E</w:t>
      </w:r>
      <w:r w:rsidRPr="00471026">
        <w:rPr>
          <w:rFonts w:cs="Arial"/>
          <w:lang w:val="en-GB"/>
        </w:rPr>
        <w:t xml:space="preserve">rror </w:t>
      </w:r>
      <w:r w:rsidR="00664008">
        <w:rPr>
          <w:rFonts w:cs="Arial"/>
          <w:lang w:val="en-GB"/>
        </w:rPr>
        <w:t>A</w:t>
      </w:r>
      <w:r w:rsidR="00664008" w:rsidRPr="00471026">
        <w:rPr>
          <w:rFonts w:cs="Arial"/>
          <w:lang w:val="en-GB"/>
        </w:rPr>
        <w:t xml:space="preserve">ssessment </w:t>
      </w:r>
      <w:r w:rsidRPr="00471026">
        <w:rPr>
          <w:rFonts w:cs="Arial"/>
          <w:lang w:val="en-GB"/>
        </w:rPr>
        <w:t xml:space="preserve">and </w:t>
      </w:r>
      <w:r w:rsidR="00664008">
        <w:rPr>
          <w:rFonts w:cs="Arial"/>
          <w:lang w:val="en-GB"/>
        </w:rPr>
        <w:t>R</w:t>
      </w:r>
      <w:r w:rsidR="00664008" w:rsidRPr="00471026">
        <w:rPr>
          <w:rFonts w:cs="Arial"/>
          <w:lang w:val="en-GB"/>
        </w:rPr>
        <w:t xml:space="preserve">eduction </w:t>
      </w:r>
      <w:r w:rsidR="00664008">
        <w:rPr>
          <w:rFonts w:cs="Arial"/>
          <w:lang w:val="en-GB"/>
        </w:rPr>
        <w:t>T</w:t>
      </w:r>
      <w:r w:rsidRPr="00471026">
        <w:rPr>
          <w:rFonts w:cs="Arial"/>
          <w:lang w:val="en-GB"/>
        </w:rPr>
        <w:t>echnique) have been applied to predict potential failures related to human factors</w:t>
      </w:r>
      <w:r w:rsidR="00A1096C">
        <w:rPr>
          <w:rFonts w:cs="Arial"/>
          <w:lang w:val="en-GB"/>
        </w:rPr>
        <w:t xml:space="preserve"> </w:t>
      </w:r>
      <w:r w:rsidR="00A1096C">
        <w:rPr>
          <w:rFonts w:cs="Arial"/>
          <w:lang w:val="en-GB"/>
        </w:rPr>
        <w:fldChar w:fldCharType="begin" w:fldLock="1"/>
      </w:r>
      <w:r w:rsidR="00107736">
        <w:rPr>
          <w:rFonts w:cs="Arial"/>
          <w:lang w:val="en-GB"/>
        </w:rPr>
        <w:instrText>ADDIN CSL_CITATION {"citationItems":[{"id":"ITEM-1","itemData":{"DOI":"10.1016/j.ijhydene.2012.10.092","ISSN":"03603199","abstract":"The use of hydrogen as an energy carrier for road transport appears to be an optimal solution for the reduction of greenhouse gas emissions. Nevertheless, the development of this technology depends on the growth and diffusion of production, storage and refuelling infrastructures together with accurate risk analyses to appropriately design the safety and management systems used in these plants. Moreover, to improve safety standards, it is also important to focus attention on the estimation of hazards related to human factors, as this is one of the major causes leading to accidental events, especially in complex industrial technology. The paper reports a case study relevant to operator errors that occur during maintenance procedures on safety venting devices in refuelling station hydrogen storage systems performed using first- and second-generation Human Rate Assessment (HRA) techniques. HEART (Human Error Assessment and Reduction Technique) methodology, a first-generation HRA method, which was modified on the basis of the fuzzy set concept, was employed to evaluate the probability of erroneous actions. The obtained results have been compared with results obtained using CREAM (second-generation) methodology. The critical analyses of the obtained results have also allowed to provide procedural recommendations and suggestions regarding safety equipment and procedures which can be adopted to reduce the risk of accidents.Copyright © 2012, Hydrogen Energy Publications, LLC. Published by Elsevier Ltd. All rights.","author":[{"dropping-particle":"","family":"Castiglia","given":"F.","non-dropping-particle":"","parse-names":false,"suffix":""},{"dropping-particle":"","family":"Giardina","given":"M.","non-dropping-particle":"","parse-names":false,"suffix":""}],"container-title":"International Journal of Hydrogen Energy","id":"ITEM-1","issue":"2","issued":{"date-parts":[["2013","1","24"]]},"page":"1166-1176","title":"Analysis of operator human errors in hydrogen refuelling stations: Comparison between human rate assessment techniques","type":"article-journal","volume":"38"},"uris":["http://www.mendeley.com/documents/?uuid=0b68caf3-0381-322f-a9d3-88344419694d"]}],"mendeley":{"formattedCitation":"(Castiglia and Giardina, 2013)","plainTextFormattedCitation":"(Castiglia and Giardina, 2013)","previouslyFormattedCitation":"(Castiglia and Giardina, 2013)"},"properties":{"noteIndex":0},"schema":"https://github.com/citation-style-language/schema/raw/master/csl-citation.json"}</w:instrText>
      </w:r>
      <w:r w:rsidR="00A1096C">
        <w:rPr>
          <w:rFonts w:cs="Arial"/>
          <w:lang w:val="en-GB"/>
        </w:rPr>
        <w:fldChar w:fldCharType="separate"/>
      </w:r>
      <w:r w:rsidR="00107736" w:rsidRPr="00107736">
        <w:rPr>
          <w:rFonts w:cs="Arial"/>
          <w:noProof/>
          <w:lang w:val="en-GB"/>
        </w:rPr>
        <w:t>(Castiglia and Giardina, 2013)</w:t>
      </w:r>
      <w:r w:rsidR="00A1096C">
        <w:rPr>
          <w:rFonts w:cs="Arial"/>
          <w:lang w:val="en-GB"/>
        </w:rPr>
        <w:fldChar w:fldCharType="end"/>
      </w:r>
      <w:r w:rsidRPr="00471026">
        <w:rPr>
          <w:rFonts w:cs="Arial"/>
          <w:lang w:val="en-GB"/>
        </w:rPr>
        <w:t>. It should also be noted that some research has attempted to estimate risk based on HRSs event</w:t>
      </w:r>
      <w:r w:rsidR="00052866" w:rsidRPr="00471026">
        <w:rPr>
          <w:rFonts w:cs="Arial"/>
          <w:lang w:val="en-GB"/>
        </w:rPr>
        <w:t>s</w:t>
      </w:r>
      <w:r w:rsidR="003213C1">
        <w:rPr>
          <w:rFonts w:cs="Arial"/>
          <w:lang w:val="en-GB"/>
        </w:rPr>
        <w:t xml:space="preserve"> information. </w:t>
      </w:r>
      <w:r w:rsidR="001119A9">
        <w:rPr>
          <w:rFonts w:cs="Arial"/>
          <w:lang w:val="en-GB"/>
        </w:rPr>
        <w:fldChar w:fldCharType="begin" w:fldLock="1"/>
      </w:r>
      <w:r w:rsidR="00C94DC1">
        <w:rPr>
          <w:rFonts w:cs="Arial"/>
          <w:lang w:val="en-GB"/>
        </w:rPr>
        <w:instrText>ADDIN CSL_CITATION {"citationItems":[{"id":"ITEM-1","itemData":{"DOI":"10.1016/j.ijhydene.2019.05.187","ISSN":"03603199","abstract":"The use of hydrogen as an environmentally friendly fuel for the future is attracting more attention among the scientific community. However, hydrogen has its drawbacks such as its fast burning speed. This suggest that studies should be conducted in order to assess and minimize the associated risks. Hence, this study aims to analyze the risk factors that lead to hydrogen logistics incidents by capturing the complexity of interdependencies in a network modeling approach. In this study, facts and figures from incident cases were acquired, and the assessment was enhanced by considering incident chains and the interdependencies among factors and effects. Then, network analysis was used to identify significant factors and significant effects in the occurrence of hydrogen logistics incidents. The results reveal that each factor plays its own role in the occurrence of an effect. The occurrence of a hydrogen logistics incident cannot be truly reduced by only considering the factors, it must consider both the factors and the effects. Tackling the occurrence of a significant factor and effect is effective for controlling and reducing the occurrence of hydrogen logistics incidents. By modeling and analyzing the interdependencies, this study contributes in revealing the topological structures and characteristics of each factor and effect in the occurrence of hydrogen logistics incidents, and the network diagrams with probabilistic estimations are useful for enhancing safety in hydrogen logistics as well as developing associated precautions.","author":[{"dropping-particle":"","family":"Lam","given":"C. Y.","non-dropping-particle":"","parse-names":false,"suffix":""},{"dropping-particle":"","family":"Fuse","given":"M.","non-dropping-particle":"","parse-names":false,"suffix":""},{"dropping-particle":"","family":"Shimizu","given":"T.","non-dropping-particle":"","parse-names":false,"suffix":""}],"container-title":"International Journal of Hydrogen Energy","id":"ITEM-1","issue":"36","issued":{"date-parts":[["2019","7","26"]]},"page":"20572-20586","publisher":"Elsevier Ltd","title":"Assessment of risk factors and effects in hydrogen logistics incidents from a network modeling perspective","type":"article-journal","volume":"44"},"uris":["http://www.mendeley.com/documents/?uuid=5b8f4d29-3245-374a-b887-7a400e6c5b53"]}],"mendeley":{"formattedCitation":"(Lam et al., 2019)","manualFormatting":"Lam et al. (2019)","plainTextFormattedCitation":"(Lam et al., 2019)","previouslyFormattedCitation":"(Lam et al., 2019)"},"properties":{"noteIndex":0},"schema":"https://github.com/citation-style-language/schema/raw/master/csl-citation.json"}</w:instrText>
      </w:r>
      <w:r w:rsidR="001119A9">
        <w:rPr>
          <w:rFonts w:cs="Arial"/>
          <w:lang w:val="en-GB"/>
        </w:rPr>
        <w:fldChar w:fldCharType="separate"/>
      </w:r>
      <w:r w:rsidR="001119A9">
        <w:rPr>
          <w:rFonts w:cs="Arial"/>
          <w:noProof/>
          <w:lang w:val="en-GB"/>
        </w:rPr>
        <w:t>Lam et al. (</w:t>
      </w:r>
      <w:r w:rsidR="001119A9" w:rsidRPr="001119A9">
        <w:rPr>
          <w:rFonts w:cs="Arial"/>
          <w:noProof/>
          <w:lang w:val="en-GB"/>
        </w:rPr>
        <w:t>2019)</w:t>
      </w:r>
      <w:r w:rsidR="001119A9">
        <w:rPr>
          <w:rFonts w:cs="Arial"/>
          <w:lang w:val="en-GB"/>
        </w:rPr>
        <w:fldChar w:fldCharType="end"/>
      </w:r>
      <w:r w:rsidRPr="00471026">
        <w:rPr>
          <w:rFonts w:cs="Arial"/>
          <w:lang w:val="en-GB"/>
        </w:rPr>
        <w:t xml:space="preserve"> used network theory to analyse hydrogen logistics incidents. They collected 100 hydrogen logistics incidents and identified eight factors and five effects, revealing the interdependencies between them. </w:t>
      </w:r>
      <w:r w:rsidR="00052866" w:rsidRPr="00471026">
        <w:rPr>
          <w:rFonts w:cs="Arial"/>
          <w:lang w:val="en-GB"/>
        </w:rPr>
        <w:t xml:space="preserve">One of the most notable factors was improper operation, which can lead to a cascade of logistics incidents, with leakage being the </w:t>
      </w:r>
      <w:r w:rsidR="00052866" w:rsidRPr="00346EA1">
        <w:rPr>
          <w:rFonts w:cs="Arial"/>
          <w:highlight w:val="yellow"/>
          <w:lang w:val="en-GB"/>
        </w:rPr>
        <w:t xml:space="preserve">most </w:t>
      </w:r>
      <w:r w:rsidR="00DA2DF8">
        <w:rPr>
          <w:rFonts w:cs="Arial"/>
          <w:highlight w:val="yellow"/>
          <w:lang w:val="en-GB"/>
        </w:rPr>
        <w:t>common</w:t>
      </w:r>
      <w:r w:rsidR="00052866" w:rsidRPr="00346EA1">
        <w:rPr>
          <w:rFonts w:cs="Arial"/>
          <w:highlight w:val="yellow"/>
          <w:lang w:val="en-GB"/>
        </w:rPr>
        <w:t xml:space="preserve"> effect</w:t>
      </w:r>
      <w:r w:rsidR="00DA2DF8">
        <w:rPr>
          <w:rFonts w:cs="Arial"/>
          <w:highlight w:val="yellow"/>
          <w:lang w:val="en-GB"/>
        </w:rPr>
        <w:t>.</w:t>
      </w:r>
      <w:bookmarkStart w:id="1" w:name="_GoBack"/>
      <w:bookmarkEnd w:id="1"/>
      <w:r w:rsidR="00346EA1" w:rsidRPr="00346EA1">
        <w:rPr>
          <w:rFonts w:cs="Arial"/>
          <w:highlight w:val="yellow"/>
          <w:lang w:val="en-GB"/>
        </w:rPr>
        <w:t xml:space="preserve"> </w:t>
      </w:r>
      <w:r w:rsidR="00052866" w:rsidRPr="00471026">
        <w:rPr>
          <w:rFonts w:cs="Arial"/>
          <w:lang w:val="en-GB"/>
        </w:rPr>
        <w:t xml:space="preserve">It is worth mentioning that </w:t>
      </w:r>
      <w:r w:rsidR="00507FF6">
        <w:rPr>
          <w:rFonts w:cs="Arial"/>
          <w:lang w:val="en-GB"/>
        </w:rPr>
        <w:fldChar w:fldCharType="begin" w:fldLock="1"/>
      </w:r>
      <w:r w:rsidR="00C94DC1">
        <w:rPr>
          <w:rFonts w:cs="Arial"/>
          <w:lang w:val="en-GB"/>
        </w:rPr>
        <w:instrText>ADDIN CSL_CITATION {"citationItems":[{"id":"ITEM-1","itemData":{"DOI":"10.1016/j.ijhydene.2019.03.041","ISSN":"03603199","abstract":"Among all introduced green alternatives, hydrogen, due to its abundance and diverse production sources is becoming an increasingly viable clean and green option for transportation and energy storage. Governments are considerably funding relevant researches and the public is beginning to talk about hydrogen as a possible future fuel. Hydrogen production, storage, delivery, and utilization are the key parts of the Hydrogen Economy (HE). In this paper, hydrogen storage and delivery options are discussed thoroughly. Then, since safety and reliability of hydrogen infrastructure is a necessary enabling condition for public acceptance of these technologies and any major accident involving hydrogen can be difficult to neutralize, we review the main existing safety and reliability challenges in hydrogen systems. The current state of the art in safety and reliability analysis for hydrogen storage and delivery technologies is discussed, and recommendations are mentioned to help providing a foundation for future risk and reliability analysis to support safe, reliable operation.","author":[{"dropping-particle":"","family":"Moradi","given":"Ramin","non-dropping-particle":"","parse-names":false,"suffix":""},{"dropping-particle":"","family":"Groth","given":"Katrina M.","non-dropping-particle":"","parse-names":false,"suffix":""}],"container-title":"International Journal of Hydrogen Energy","id":"ITEM-1","issue":"23","issued":{"date-parts":[["2019","5","3"]]},"page":"12254-12269","publisher":"Elsevier Ltd","title":"Hydrogen storage and delivery: Review of the state of the art technologies and risk and reliability analysis","type":"article","volume":"44"},"uris":["http://www.mendeley.com/documents/?uuid=f09eb8bc-bcdb-3115-9d56-0a7c950d0781"]}],"mendeley":{"formattedCitation":"(Moradi and Groth, 2019)","manualFormatting":"Moradi and Groth (2019)","plainTextFormattedCitation":"(Moradi and Groth, 2019)","previouslyFormattedCitation":"(Moradi and Groth, 2019)"},"properties":{"noteIndex":0},"schema":"https://github.com/citation-style-language/schema/raw/master/csl-citation.json"}</w:instrText>
      </w:r>
      <w:r w:rsidR="00507FF6">
        <w:rPr>
          <w:rFonts w:cs="Arial"/>
          <w:lang w:val="en-GB"/>
        </w:rPr>
        <w:fldChar w:fldCharType="separate"/>
      </w:r>
      <w:r w:rsidR="00923A55">
        <w:rPr>
          <w:rFonts w:cs="Arial"/>
          <w:noProof/>
          <w:lang w:val="en-GB"/>
        </w:rPr>
        <w:t>Moradi and</w:t>
      </w:r>
      <w:r w:rsidR="00507FF6">
        <w:rPr>
          <w:rFonts w:cs="Arial"/>
          <w:noProof/>
          <w:lang w:val="en-GB"/>
        </w:rPr>
        <w:t xml:space="preserve"> Groth</w:t>
      </w:r>
      <w:r w:rsidR="00507FF6" w:rsidRPr="00507FF6">
        <w:rPr>
          <w:rFonts w:cs="Arial"/>
          <w:noProof/>
          <w:lang w:val="en-GB"/>
        </w:rPr>
        <w:t xml:space="preserve"> </w:t>
      </w:r>
      <w:r w:rsidR="00507FF6">
        <w:rPr>
          <w:rFonts w:cs="Arial"/>
          <w:noProof/>
          <w:lang w:val="en-GB"/>
        </w:rPr>
        <w:t>(</w:t>
      </w:r>
      <w:r w:rsidR="00507FF6" w:rsidRPr="00507FF6">
        <w:rPr>
          <w:rFonts w:cs="Arial"/>
          <w:noProof/>
          <w:lang w:val="en-GB"/>
        </w:rPr>
        <w:t>2019)</w:t>
      </w:r>
      <w:r w:rsidR="00507FF6">
        <w:rPr>
          <w:rFonts w:cs="Arial"/>
          <w:lang w:val="en-GB"/>
        </w:rPr>
        <w:fldChar w:fldCharType="end"/>
      </w:r>
      <w:r w:rsidR="00052866" w:rsidRPr="00471026">
        <w:rPr>
          <w:rFonts w:cs="Arial"/>
          <w:lang w:val="en-GB"/>
        </w:rPr>
        <w:t xml:space="preserve"> pointed out that while there is an abundance of experimental research on the reliability of individual components, there is very li</w:t>
      </w:r>
      <w:r w:rsidR="00DD11FB">
        <w:rPr>
          <w:rFonts w:cs="Arial"/>
          <w:lang w:val="en-GB"/>
        </w:rPr>
        <w:t>ttle data collection on systems</w:t>
      </w:r>
      <w:r w:rsidR="00F4754C" w:rsidRPr="00471026">
        <w:rPr>
          <w:rFonts w:cs="Arial"/>
          <w:lang w:val="en-GB"/>
        </w:rPr>
        <w:t>. They also noted that another critical aspect</w:t>
      </w:r>
      <w:r w:rsidR="00F1376F">
        <w:rPr>
          <w:rFonts w:cs="Arial"/>
          <w:lang w:val="en-GB"/>
        </w:rPr>
        <w:t xml:space="preserve"> of enhancing risk assessment </w:t>
      </w:r>
      <w:r w:rsidR="00F1376F" w:rsidRPr="00F1376F">
        <w:rPr>
          <w:rFonts w:cs="Arial"/>
          <w:highlight w:val="yellow"/>
          <w:lang w:val="en-GB"/>
        </w:rPr>
        <w:t>was</w:t>
      </w:r>
      <w:r w:rsidR="00F4754C" w:rsidRPr="00471026">
        <w:rPr>
          <w:rFonts w:cs="Arial"/>
          <w:lang w:val="en-GB"/>
        </w:rPr>
        <w:t xml:space="preserve"> to improve the quality of incident databases </w:t>
      </w:r>
      <w:r w:rsidR="00346EA1">
        <w:rPr>
          <w:rFonts w:cs="Arial"/>
          <w:lang w:val="en-GB"/>
        </w:rPr>
        <w:t xml:space="preserve">such </w:t>
      </w:r>
      <w:r w:rsidR="00346EA1" w:rsidRPr="00346EA1">
        <w:rPr>
          <w:rFonts w:cs="Arial"/>
          <w:highlight w:val="yellow"/>
          <w:lang w:val="en-GB"/>
        </w:rPr>
        <w:t>as HIAD 2.0 and others</w:t>
      </w:r>
      <w:r w:rsidRPr="00346EA1">
        <w:rPr>
          <w:rFonts w:cs="Arial"/>
          <w:highlight w:val="yellow"/>
          <w:lang w:val="en-GB"/>
        </w:rPr>
        <w:t>.</w:t>
      </w:r>
    </w:p>
    <w:p w14:paraId="0DAF3A62" w14:textId="3E91D7A6" w:rsidR="00C51E37" w:rsidRPr="00471026" w:rsidRDefault="00C51E37" w:rsidP="00ED064F">
      <w:pPr>
        <w:pStyle w:val="CETheadingx"/>
        <w:rPr>
          <w:rFonts w:cs="Arial"/>
          <w:lang w:val="en-GB"/>
        </w:rPr>
      </w:pPr>
      <w:r w:rsidRPr="00471026">
        <w:rPr>
          <w:rFonts w:cs="Arial"/>
          <w:lang w:val="en-GB"/>
        </w:rPr>
        <w:t>Event analysis methodologies</w:t>
      </w:r>
    </w:p>
    <w:p w14:paraId="6EFE3FEF" w14:textId="0AF4BE87" w:rsidR="00FC5BF1" w:rsidRPr="00471026" w:rsidRDefault="006F4083" w:rsidP="00FC5BF1">
      <w:pPr>
        <w:pStyle w:val="CETBodytext"/>
        <w:rPr>
          <w:rFonts w:cs="Arial"/>
          <w:lang w:val="en-GB"/>
        </w:rPr>
      </w:pPr>
      <w:r w:rsidRPr="00471026">
        <w:rPr>
          <w:rFonts w:cs="Arial"/>
          <w:lang w:val="en-GB"/>
        </w:rPr>
        <w:t xml:space="preserve">The analysis of </w:t>
      </w:r>
      <w:r w:rsidR="00C51E37" w:rsidRPr="00471026">
        <w:rPr>
          <w:rFonts w:cs="Arial"/>
          <w:lang w:val="en-GB"/>
        </w:rPr>
        <w:t>abnormal/upset operations, near-</w:t>
      </w:r>
      <w:r w:rsidRPr="00471026">
        <w:rPr>
          <w:rFonts w:cs="Arial"/>
          <w:lang w:val="en-GB"/>
        </w:rPr>
        <w:t>misses and lower-consequence higher-frequency incidents</w:t>
      </w:r>
      <w:r w:rsidR="00C51E37" w:rsidRPr="00471026">
        <w:rPr>
          <w:rFonts w:cs="Arial"/>
          <w:lang w:val="en-GB"/>
        </w:rPr>
        <w:t>,</w:t>
      </w:r>
      <w:r w:rsidRPr="00471026">
        <w:rPr>
          <w:rFonts w:cs="Arial"/>
          <w:lang w:val="en-GB"/>
        </w:rPr>
        <w:t xml:space="preserve"> has helped to strengthen safety in the chemical industry </w:t>
      </w:r>
      <w:r w:rsidR="00507FF6">
        <w:rPr>
          <w:rFonts w:cs="Arial"/>
          <w:lang w:val="en-GB"/>
        </w:rPr>
        <w:fldChar w:fldCharType="begin" w:fldLock="1"/>
      </w:r>
      <w:r w:rsidR="00351425">
        <w:rPr>
          <w:rFonts w:cs="Arial"/>
          <w:lang w:val="en-GB"/>
        </w:rPr>
        <w:instrText>ADDIN CSL_CITATION {"citationItems":[{"id":"ITEM-1","itemData":{"author":[{"dropping-particle":"","family":"CCPS (Center for Chemical Process Safety)","given":"","non-dropping-particle":"","parse-names":false,"suffix":""}],"edition":"3rd edition","id":"ITEM-1","issued":{"date-parts":[["2019"]]},"publisher":"Wiley Professional, Reference &amp; Trade","publisher-place":"New York","title":"Guidelines for Investigating Process Safety Incidents","type":"book"},"uris":["http://www.mendeley.com/documents/?uuid=dba6a86b-cd5c-3f10-9c45-618d5eba49e3"]}],"mendeley":{"formattedCitation":"(CCPS (Center for Chemical Process Safety), 2019)","manualFormatting":"(CCPS, 2019)","plainTextFormattedCitation":"(CCPS (Center for Chemical Process Safety), 2019)","previouslyFormattedCitation":"(CCPS (Center for Chemical Process Safety), 2019)"},"properties":{"noteIndex":0},"schema":"https://github.com/citation-style-language/schema/raw/master/csl-citation.json"}</w:instrText>
      </w:r>
      <w:r w:rsidR="00507FF6">
        <w:rPr>
          <w:rFonts w:cs="Arial"/>
          <w:lang w:val="en-GB"/>
        </w:rPr>
        <w:fldChar w:fldCharType="separate"/>
      </w:r>
      <w:r w:rsidR="00507FF6">
        <w:rPr>
          <w:rFonts w:cs="Arial"/>
          <w:noProof/>
          <w:lang w:val="en-GB"/>
        </w:rPr>
        <w:t>(CCPS</w:t>
      </w:r>
      <w:r w:rsidR="00507FF6" w:rsidRPr="00507FF6">
        <w:rPr>
          <w:rFonts w:cs="Arial"/>
          <w:noProof/>
          <w:lang w:val="en-GB"/>
        </w:rPr>
        <w:t>, 2019)</w:t>
      </w:r>
      <w:r w:rsidR="00507FF6">
        <w:rPr>
          <w:rFonts w:cs="Arial"/>
          <w:lang w:val="en-GB"/>
        </w:rPr>
        <w:fldChar w:fldCharType="end"/>
      </w:r>
      <w:r w:rsidRPr="00471026">
        <w:rPr>
          <w:rFonts w:cs="Arial"/>
          <w:lang w:val="en-GB"/>
        </w:rPr>
        <w:t xml:space="preserve">. Systematic incident analyses reveal aspects of the functioning of complex technological systems and allow weaknesses to be identified. There are several existing incident analysis and review methodologies. </w:t>
      </w:r>
      <w:r w:rsidR="00361F6D" w:rsidRPr="00361F6D">
        <w:rPr>
          <w:rFonts w:cs="Arial"/>
          <w:highlight w:val="yellow"/>
          <w:lang w:val="en-GB"/>
        </w:rPr>
        <w:t>The interdisciplinary nature and evolution of these techniques, which have been "successfully borrowed" from one field to another, are notable</w:t>
      </w:r>
      <w:r w:rsidR="00361F6D">
        <w:rPr>
          <w:rFonts w:cs="Arial"/>
          <w:lang w:val="en-GB"/>
        </w:rPr>
        <w:t xml:space="preserve"> </w:t>
      </w:r>
      <w:r w:rsidR="00351425">
        <w:rPr>
          <w:rFonts w:cs="Arial"/>
          <w:lang w:val="en-GB"/>
        </w:rPr>
        <w:fldChar w:fldCharType="begin" w:fldLock="1"/>
      </w:r>
      <w:r w:rsidR="00C94DC1">
        <w:rPr>
          <w:rFonts w:cs="Arial"/>
          <w:lang w:val="en-GB"/>
        </w:rPr>
        <w:instrText>ADDIN CSL_CITATION {"citationItems":[{"id":"ITEM-1","itemData":{"ISBN":"0717619664","author":[{"dropping-particle":"","family":"Livingston","given":"A. D.","non-dropping-particle":"","parse-names":false,"suffix":""},{"dropping-particle":"","family":"Jackson","given":"G.","non-dropping-particle":"","parse-names":false,"suffix":""},{"dropping-particle":"","family":"Priestley","given":"K.","non-dropping-particle":"","parse-names":false,"suffix":""},{"dropping-particle":"","family":"Great Britain. Health and Safety Executive.","given":"","non-dropping-particle":"","parse-names":false,"suffix":""}],"id":"ITEM-1","issued":{"date-parts":[["2001"]]},"number-of-pages":"53","publisher":"HSE Books","title":"Root causes analysis : literature review","type":"book"},"locator":"4","uris":["http://www.mendeley.com/documents/?uuid=93fcb637-703d-3a8a-a18e-e9e171f424b1"]}],"mendeley":{"formattedCitation":"(Livingston et al., 2001, p. 4)","plainTextFormattedCitation":"(Livingston et al., 2001, p. 4)","previouslyFormattedCitation":"(Livingston et al., 2001, p. 4)"},"properties":{"noteIndex":0},"schema":"https://github.com/citation-style-language/schema/raw/master/csl-citation.json"}</w:instrText>
      </w:r>
      <w:r w:rsidR="00351425">
        <w:rPr>
          <w:rFonts w:cs="Arial"/>
          <w:lang w:val="en-GB"/>
        </w:rPr>
        <w:fldChar w:fldCharType="separate"/>
      </w:r>
      <w:r w:rsidR="00107736" w:rsidRPr="00C94DC1">
        <w:rPr>
          <w:rFonts w:cs="Arial"/>
          <w:noProof/>
          <w:lang w:val="en-GB"/>
        </w:rPr>
        <w:t>(Livingston et al., 2001, p. 4)</w:t>
      </w:r>
      <w:r w:rsidR="00351425">
        <w:rPr>
          <w:rFonts w:cs="Arial"/>
          <w:lang w:val="en-GB"/>
        </w:rPr>
        <w:fldChar w:fldCharType="end"/>
      </w:r>
      <w:r w:rsidR="00C10DFF">
        <w:rPr>
          <w:rFonts w:cs="Arial"/>
          <w:lang w:val="en-GB"/>
        </w:rPr>
        <w:t>.</w:t>
      </w:r>
    </w:p>
    <w:p w14:paraId="0731C210" w14:textId="2DF66913" w:rsidR="006F4083" w:rsidRPr="00471026" w:rsidRDefault="006F4083" w:rsidP="00FC5BF1">
      <w:pPr>
        <w:pStyle w:val="CETBodytext"/>
        <w:rPr>
          <w:rFonts w:cs="Arial"/>
          <w:lang w:val="en-GB"/>
        </w:rPr>
      </w:pPr>
      <w:r w:rsidRPr="00471026">
        <w:rPr>
          <w:rFonts w:cs="Arial"/>
          <w:lang w:val="en-GB"/>
        </w:rPr>
        <w:t>The present study takes as a reference two methodologies for establishing an analysis protocol for the systematic review of i</w:t>
      </w:r>
      <w:r w:rsidR="00A45D9B" w:rsidRPr="00471026">
        <w:rPr>
          <w:rFonts w:cs="Arial"/>
          <w:lang w:val="en-GB"/>
        </w:rPr>
        <w:t>ncidents in HRSs</w:t>
      </w:r>
      <w:r w:rsidRPr="00471026">
        <w:rPr>
          <w:rFonts w:cs="Arial"/>
          <w:lang w:val="en-GB"/>
        </w:rPr>
        <w:t xml:space="preserve">. The two publicly available methodologies </w:t>
      </w:r>
      <w:r w:rsidR="000E3D1E">
        <w:rPr>
          <w:rFonts w:cs="Arial"/>
          <w:lang w:val="en-GB"/>
        </w:rPr>
        <w:fldChar w:fldCharType="begin" w:fldLock="1"/>
      </w:r>
      <w:r w:rsidR="00186AC7">
        <w:rPr>
          <w:rFonts w:cs="Arial"/>
          <w:lang w:val="en-GB"/>
        </w:rPr>
        <w:instrText>ADDIN CSL_CITATION {"citationItems":[{"id":"ITEM-1","itemData":{"author":[{"dropping-particle":"","family":"CCPS (Center for Chemical Process Safety)","given":"","non-dropping-particle":"","parse-names":false,"suffix":""}],"edition":"3rd edition","id":"ITEM-1","issued":{"date-parts":[["2019"]]},"publisher":"Wiley Professional, Reference &amp; Trade","publisher-place":"New York","title":"Guidelines for Investigating Process Safety Incidents","type":"book"},"uris":["http://www.mendeley.com/documents/?uuid=dba6a86b-cd5c-3f10-9c45-618d5eba49e3"]}],"mendeley":{"formattedCitation":"(CCPS (Center for Chemical Process Safety), 2019)","manualFormatting":"(CCPS, 2019)","plainTextFormattedCitation":"(CCPS (Center for Chemical Process Safety), 2019)","previouslyFormattedCitation":"(CCPS (Center for Chemical Process Safety), 2019)"},"properties":{"noteIndex":0},"schema":"https://github.com/citation-style-language/schema/raw/master/csl-citation.json"}</w:instrText>
      </w:r>
      <w:r w:rsidR="000E3D1E">
        <w:rPr>
          <w:rFonts w:cs="Arial"/>
          <w:lang w:val="en-GB"/>
        </w:rPr>
        <w:fldChar w:fldCharType="separate"/>
      </w:r>
      <w:r w:rsidR="000E3D1E">
        <w:rPr>
          <w:rFonts w:cs="Arial"/>
          <w:noProof/>
          <w:lang w:val="en-GB"/>
        </w:rPr>
        <w:t>(CCPS</w:t>
      </w:r>
      <w:r w:rsidR="000E3D1E" w:rsidRPr="000E3D1E">
        <w:rPr>
          <w:rFonts w:cs="Arial"/>
          <w:noProof/>
          <w:lang w:val="en-GB"/>
        </w:rPr>
        <w:t>, 2019)</w:t>
      </w:r>
      <w:r w:rsidR="000E3D1E">
        <w:rPr>
          <w:rFonts w:cs="Arial"/>
          <w:lang w:val="en-GB"/>
        </w:rPr>
        <w:fldChar w:fldCharType="end"/>
      </w:r>
      <w:r w:rsidRPr="00471026">
        <w:rPr>
          <w:rFonts w:cs="Arial"/>
          <w:lang w:val="en-GB"/>
        </w:rPr>
        <w:t xml:space="preserve"> are: a) Management Oversight and Risk Tree (MORT) and b) Systematic Accident Cause Analysis (SACA).</w:t>
      </w:r>
    </w:p>
    <w:p w14:paraId="0210A847" w14:textId="600DED53" w:rsidR="006F4083" w:rsidRPr="00471026" w:rsidRDefault="003C3521" w:rsidP="00FC5BF1">
      <w:pPr>
        <w:pStyle w:val="CETBodytext"/>
        <w:rPr>
          <w:rFonts w:cs="Arial"/>
          <w:lang w:val="en-GB"/>
        </w:rPr>
      </w:pPr>
      <w:r w:rsidRPr="00471026">
        <w:rPr>
          <w:rFonts w:cs="Arial"/>
          <w:lang w:val="en-GB"/>
        </w:rPr>
        <w:t>The MORT methodology for event analysis dates back to 1973</w:t>
      </w:r>
      <w:r w:rsidR="004A37C6">
        <w:rPr>
          <w:rFonts w:cs="Arial"/>
          <w:lang w:val="en-GB"/>
        </w:rPr>
        <w:t>.</w:t>
      </w:r>
      <w:r w:rsidRPr="00471026">
        <w:rPr>
          <w:rFonts w:cs="Arial"/>
          <w:lang w:val="en-GB"/>
        </w:rPr>
        <w:t xml:space="preserve"> </w:t>
      </w:r>
      <w:r w:rsidR="00C51E37" w:rsidRPr="00471026">
        <w:rPr>
          <w:rFonts w:cs="Arial"/>
          <w:lang w:val="en-GB"/>
        </w:rPr>
        <w:t xml:space="preserve">It was developed by the </w:t>
      </w:r>
      <w:r w:rsidR="00735844" w:rsidRPr="00735844">
        <w:rPr>
          <w:rFonts w:cs="Arial"/>
          <w:lang w:val="en-GB"/>
        </w:rPr>
        <w:t>United S</w:t>
      </w:r>
      <w:r w:rsidR="00735844">
        <w:rPr>
          <w:rFonts w:cs="Arial"/>
          <w:lang w:val="en-GB"/>
        </w:rPr>
        <w:t>tates Department of Energy (DOE)</w:t>
      </w:r>
      <w:r w:rsidR="00664008">
        <w:rPr>
          <w:rFonts w:cs="Arial"/>
          <w:lang w:val="en-GB"/>
        </w:rPr>
        <w:t>,</w:t>
      </w:r>
      <w:r w:rsidR="00C51E37" w:rsidRPr="00471026">
        <w:rPr>
          <w:rFonts w:cs="Arial"/>
          <w:lang w:val="en-GB"/>
        </w:rPr>
        <w:t xml:space="preserve"> as an operational analysis tool to provide a technique for thorough investigation of occupational accidents and analysis of the safety programme. </w:t>
      </w:r>
      <w:r w:rsidR="006F4083" w:rsidRPr="00471026">
        <w:rPr>
          <w:rFonts w:cs="Arial"/>
          <w:lang w:val="en-GB"/>
        </w:rPr>
        <w:t>The MORT methodology was considered to be a synthesis of the best safety elements and concepts for event anal</w:t>
      </w:r>
      <w:r w:rsidR="00186AC7">
        <w:rPr>
          <w:rFonts w:cs="Arial"/>
          <w:lang w:val="en-GB"/>
        </w:rPr>
        <w:t xml:space="preserve">ysis </w:t>
      </w:r>
      <w:r w:rsidR="00646162">
        <w:rPr>
          <w:rFonts w:cs="Arial"/>
          <w:lang w:val="en-GB"/>
        </w:rPr>
        <w:fldChar w:fldCharType="begin" w:fldLock="1"/>
      </w:r>
      <w:r w:rsidR="00107736">
        <w:rPr>
          <w:rFonts w:cs="Arial"/>
          <w:lang w:val="en-GB"/>
        </w:rPr>
        <w:instrText>ADDIN CSL_CITATION {"citationItems":[{"id":"ITEM-1","itemData":{"author":[{"dropping-particle":"","family":"Solano","given":"Violeta","non-dropping-particle":"","parse-names":false,"suffix":""},{"dropping-particle":"","family":"Isasia","given":"Rodolfo","non-dropping-particle":"","parse-names":false,"suffix":""}],"id":"ITEM-1","issued":{"date-parts":[["2017"]]},"title":"La Metodología de Análisis de Causa Raíz MORT (Management and Oversight Risk Tree). Propuesta de Modernización y Adaptación a la Realidad Española","type":"report"},"uris":["http://www.mendeley.com/documents/?uuid=020253ee-5339-3981-9eef-6a15b1da5c74"]}],"mendeley":{"formattedCitation":"(Solano and Isasia, 2017)","plainTextFormattedCitation":"(Solano and Isasia, 2017)","previouslyFormattedCitation":"(Solano and Isasia, 2017)"},"properties":{"noteIndex":0},"schema":"https://github.com/citation-style-language/schema/raw/master/csl-citation.json"}</w:instrText>
      </w:r>
      <w:r w:rsidR="00646162">
        <w:rPr>
          <w:rFonts w:cs="Arial"/>
          <w:lang w:val="en-GB"/>
        </w:rPr>
        <w:fldChar w:fldCharType="separate"/>
      </w:r>
      <w:r w:rsidR="00107736" w:rsidRPr="00107736">
        <w:rPr>
          <w:rFonts w:cs="Arial"/>
          <w:noProof/>
          <w:lang w:val="en-GB"/>
        </w:rPr>
        <w:t>(Solano and Isasia, 2017)</w:t>
      </w:r>
      <w:r w:rsidR="00646162">
        <w:rPr>
          <w:rFonts w:cs="Arial"/>
          <w:lang w:val="en-GB"/>
        </w:rPr>
        <w:fldChar w:fldCharType="end"/>
      </w:r>
      <w:r w:rsidR="006F4083" w:rsidRPr="00471026">
        <w:rPr>
          <w:rFonts w:cs="Arial"/>
          <w:lang w:val="en-GB"/>
        </w:rPr>
        <w:t xml:space="preserve">. This methodology is used in the nuclear industry to try to determine the root causes of events. The application of MORT in practice has shown flexibility in rapid evaluation in different technologies and explanation of abnormal events in terms of risk management </w:t>
      </w:r>
      <w:r w:rsidR="00186AC7">
        <w:rPr>
          <w:rFonts w:cs="Arial"/>
          <w:lang w:val="en-GB"/>
        </w:rPr>
        <w:fldChar w:fldCharType="begin" w:fldLock="1"/>
      </w:r>
      <w:r w:rsidR="00C94DC1">
        <w:rPr>
          <w:rFonts w:cs="Arial"/>
          <w:lang w:val="en-GB"/>
        </w:rPr>
        <w:instrText>ADDIN CSL_CITATION {"citationItems":[{"id":"ITEM-1","itemData":{"ISBN":"978–90–77284–08–7","author":[{"dropping-particle":"","family":"Kingston","given":"J.","non-dropping-particle":"","parse-names":false,"suffix":""},{"dropping-particle":"","family":"Koornneef","given":"F.","non-dropping-particle":"","parse-names":false,"suffix":""},{"dropping-particle":"","family":"Ruilt","given":"J.V.","non-dropping-particle":"","parse-names":false,"suffix":""},{"dropping-particle":"","family":"Frei","given":"R.","non-dropping-particle":"","parse-names":false,"suffix":""},{"dropping-particle":"","family":"Schallier","given":"P.","non-dropping-particle":"","parse-names":false,"suffix":""}],"edition":"Second Edi","id":"ITEM-1","issued":{"date-parts":[["2009"]]},"publisher":"The Noordwijk Risk Initiative Foundation","title":"User's Manual: for use with the management oversight and risk tree analytical logic diagram","type":"book"},"uris":["http://www.mendeley.com/documents/?uuid=0f677029-832c-30ec-ade5-bbe42a6419e8"]}],"mendeley":{"formattedCitation":"(Kingston et al., 2009)","plainTextFormattedCitation":"(Kingston et al., 2009)","previouslyFormattedCitation":"(Kingston et al., 2009)"},"properties":{"noteIndex":0},"schema":"https://github.com/citation-style-language/schema/raw/master/csl-citation.json"}</w:instrText>
      </w:r>
      <w:r w:rsidR="00186AC7">
        <w:rPr>
          <w:rFonts w:cs="Arial"/>
          <w:lang w:val="en-GB"/>
        </w:rPr>
        <w:fldChar w:fldCharType="separate"/>
      </w:r>
      <w:r w:rsidR="00107736" w:rsidRPr="00C94DC1">
        <w:rPr>
          <w:rFonts w:cs="Arial"/>
          <w:noProof/>
          <w:lang w:val="en-GB"/>
        </w:rPr>
        <w:t>(Kingston et al., 2009)</w:t>
      </w:r>
      <w:r w:rsidR="00186AC7">
        <w:rPr>
          <w:rFonts w:cs="Arial"/>
          <w:lang w:val="en-GB"/>
        </w:rPr>
        <w:fldChar w:fldCharType="end"/>
      </w:r>
      <w:r w:rsidR="006F4083" w:rsidRPr="00471026">
        <w:rPr>
          <w:rFonts w:cs="Arial"/>
          <w:lang w:val="en-GB"/>
        </w:rPr>
        <w:t xml:space="preserve">. </w:t>
      </w:r>
      <w:r w:rsidR="00F1376F" w:rsidRPr="00F1376F">
        <w:rPr>
          <w:rFonts w:cs="Arial"/>
          <w:highlight w:val="yellow"/>
          <w:lang w:val="en-GB"/>
        </w:rPr>
        <w:t>It is mainly used for relevant events due to the complexity of its use (it requires a team and a significant amount of time to be implemented)</w:t>
      </w:r>
      <w:r w:rsidR="00F1376F" w:rsidRPr="00F1376F">
        <w:rPr>
          <w:rFonts w:cs="Arial"/>
          <w:lang w:val="en-GB"/>
        </w:rPr>
        <w:t>.</w:t>
      </w:r>
      <w:r w:rsidR="00F1376F">
        <w:rPr>
          <w:rFonts w:cs="Arial"/>
          <w:lang w:val="en-GB"/>
        </w:rPr>
        <w:t xml:space="preserve"> </w:t>
      </w:r>
      <w:r w:rsidR="00C51E37" w:rsidRPr="00471026">
        <w:rPr>
          <w:rFonts w:cs="Arial"/>
          <w:lang w:val="en-GB"/>
        </w:rPr>
        <w:t xml:space="preserve">In operational terms, MORT can be thought as a checklist structured in the form of a complex "fault tree" model </w:t>
      </w:r>
      <w:r w:rsidR="00186AC7">
        <w:rPr>
          <w:rFonts w:cs="Arial"/>
          <w:lang w:val="en-GB"/>
        </w:rPr>
        <w:fldChar w:fldCharType="begin" w:fldLock="1"/>
      </w:r>
      <w:r w:rsidR="00C94DC1">
        <w:rPr>
          <w:rFonts w:cs="Arial"/>
          <w:lang w:val="en-GB"/>
        </w:rPr>
        <w:instrText>ADDIN CSL_CITATION {"citationItems":[{"id":"ITEM-1","itemData":{"DOI":"10.1007/s12063-021-00248-2","ISSN":"19369743","abstract":"Although the Management Oversight and Risk Tree (MORT) method is considered a respected analytical procedure to investigate causes and contributing factors of accidents and incidents in different types of businesses, its application in Supply Chain Risk Management was not found in the literature (SCRM). Given this gap, the general objective of this research is to analyze the applicability of the MORT Method in SCRM. Methodologically, the research was supported by an in-depth case study in a cylinder requalification company located in Rio de Janeiro (Brazil). The case study included document analysis, direct observation and structured interviews based on questions previously defined by the MORT Method. As the main theoretical contribution, the research applied, in an innovative way, the MORT Method in SCRM. As the main practical contribution, sequenced, detailed and exemplified steps were developed, so that the MORT Method can be reproduced by other professionals in supply chains. As a limitation, it is observed that the case study only covers the cylinder requalification process, focusing on endogenous risks and failing to address exogenous risks in the supply chain. As a main result, it was possible to identify all the factors that contributed to the damage to cylinder valves; damage that has the potential to have severe consequences for other companies in the supply chain.","author":[{"dropping-particle":"","family":"Oliveira","given":"Ualison Rébula","non-dropping-particle":"de","parse-names":false,"suffix":""},{"dropping-particle":"","family":"Santos","given":"Camila Oliveira","non-dropping-particle":"dos","parse-names":false,"suffix":""},{"dropping-particle":"","family":"Chaves","given":"Gabriel Elias Lunz","non-dropping-particle":"","parse-names":false,"suffix":""},{"dropping-particle":"","family":"Fernandes","given":"Vicente Aprigliano","non-dropping-particle":"","parse-names":false,"suffix":""}],"container-title":"Operations Management Research","id":"ITEM-1","issue":"3-4","issued":{"date-parts":[["2022","12","1"]]},"page":"1361-1382","publisher":"Springer","title":"Analysis of the MORT method applicability for risk management in supply chains","type":"article-journal","volume":"15"},"uris":["http://www.mendeley.com/documents/?uuid=640903e5-508f-39eb-96ff-85cd6c19da2c"]}],"mendeley":{"formattedCitation":"(de Oliveira et al., 2022)","plainTextFormattedCitation":"(de Oliveira et al., 2022)","previouslyFormattedCitation":"(de Oliveira et al., 2022)"},"properties":{"noteIndex":0},"schema":"https://github.com/citation-style-language/schema/raw/master/csl-citation.json"}</w:instrText>
      </w:r>
      <w:r w:rsidR="00186AC7">
        <w:rPr>
          <w:rFonts w:cs="Arial"/>
          <w:lang w:val="en-GB"/>
        </w:rPr>
        <w:fldChar w:fldCharType="separate"/>
      </w:r>
      <w:r w:rsidR="00107736" w:rsidRPr="00C94DC1">
        <w:rPr>
          <w:rFonts w:cs="Arial"/>
          <w:noProof/>
          <w:lang w:val="en-GB"/>
        </w:rPr>
        <w:t>(de Oliveira et al., 2022)</w:t>
      </w:r>
      <w:r w:rsidR="00186AC7">
        <w:rPr>
          <w:rFonts w:cs="Arial"/>
          <w:lang w:val="en-GB"/>
        </w:rPr>
        <w:fldChar w:fldCharType="end"/>
      </w:r>
      <w:r w:rsidR="006F4083" w:rsidRPr="00471026">
        <w:rPr>
          <w:rFonts w:cs="Arial"/>
          <w:lang w:val="en-GB"/>
        </w:rPr>
        <w:t xml:space="preserve">. </w:t>
      </w:r>
    </w:p>
    <w:p w14:paraId="4468FCF9" w14:textId="481855A8" w:rsidR="00C204E7" w:rsidRPr="00471026" w:rsidRDefault="00C204E7" w:rsidP="00C204E7">
      <w:pPr>
        <w:pStyle w:val="CETBodytext"/>
        <w:rPr>
          <w:rFonts w:cs="Arial"/>
          <w:lang w:val="en-GB"/>
        </w:rPr>
      </w:pPr>
      <w:r w:rsidRPr="00471026">
        <w:rPr>
          <w:rFonts w:cs="Arial"/>
          <w:lang w:val="en-GB"/>
        </w:rPr>
        <w:t>The SACA method</w:t>
      </w:r>
      <w:r w:rsidR="00186AC7">
        <w:rPr>
          <w:rFonts w:cs="Arial"/>
          <w:lang w:val="en-GB"/>
        </w:rPr>
        <w:t xml:space="preserve">ology was developed by Waldram </w:t>
      </w:r>
      <w:r w:rsidR="004A37C6">
        <w:rPr>
          <w:rFonts w:cs="Arial"/>
          <w:lang w:val="en-GB"/>
        </w:rPr>
        <w:t>and applied in the offshore industry</w:t>
      </w:r>
      <w:r w:rsidRPr="00471026">
        <w:rPr>
          <w:rFonts w:cs="Arial"/>
          <w:lang w:val="en-GB"/>
        </w:rPr>
        <w:t xml:space="preserve">. It establishes a multi-causal perspective of undesirable events, </w:t>
      </w:r>
      <w:r w:rsidR="00C51E37" w:rsidRPr="00471026">
        <w:rPr>
          <w:rFonts w:cs="Arial"/>
          <w:lang w:val="en-GB"/>
        </w:rPr>
        <w:t>with four main categories and sixteen</w:t>
      </w:r>
      <w:r w:rsidRPr="00471026">
        <w:rPr>
          <w:rFonts w:cs="Arial"/>
          <w:lang w:val="en-GB"/>
        </w:rPr>
        <w:t xml:space="preserve"> causes. </w:t>
      </w:r>
      <w:r w:rsidR="00361F6D" w:rsidRPr="00361F6D">
        <w:rPr>
          <w:rFonts w:cs="Arial"/>
          <w:highlight w:val="yellow"/>
          <w:lang w:val="en-GB"/>
        </w:rPr>
        <w:t>SACA is applied in checklist form, which is a user-friendly approach provided that it's applied consistently and with sufficient information</w:t>
      </w:r>
      <w:r w:rsidR="00361F6D">
        <w:rPr>
          <w:rFonts w:cs="Arial"/>
          <w:lang w:val="en-GB"/>
        </w:rPr>
        <w:t xml:space="preserve"> </w:t>
      </w:r>
      <w:r w:rsidR="00186AC7">
        <w:rPr>
          <w:rFonts w:cs="Arial"/>
          <w:lang w:val="en-GB"/>
        </w:rPr>
        <w:fldChar w:fldCharType="begin" w:fldLock="1"/>
      </w:r>
      <w:r w:rsidR="00C94DC1">
        <w:rPr>
          <w:rFonts w:cs="Arial"/>
          <w:lang w:val="en-GB"/>
        </w:rPr>
        <w:instrText>ADDIN CSL_CITATION {"citationItems":[{"id":"ITEM-1","itemData":{"ISBN":"0717619664","author":[{"dropping-particle":"","family":"Livingston","given":"A. D.","non-dropping-particle":"","parse-names":false,"suffix":""},{"dropping-particle":"","family":"Jackson","given":"G.","non-dropping-particle":"","parse-names":false,"suffix":""},{"dropping-particle":"","family":"Priestley","given":"K.","non-dropping-particle":"","parse-names":false,"suffix":""},{"dropping-particle":"","family":"Great Britain. Health and Safety Executive.","given":"","non-dropping-particle":"","parse-names":false,"suffix":""}],"id":"ITEM-1","issued":{"date-parts":[["2001"]]},"number-of-pages":"53","publisher":"HSE Books","title":"Root causes analysis : literature review","type":"book"},"uris":["http://www.mendeley.com/documents/?uuid=93fcb637-703d-3a8a-a18e-e9e171f424b1"]}],"mendeley":{"formattedCitation":"(Livingston et al., 2001)","manualFormatting":"(Waldram, 1988, as cited in Livingston et al., 2001)","plainTextFormattedCitation":"(Livingston et al., 2001)","previouslyFormattedCitation":"(Livingston et al., 2001)"},"properties":{"noteIndex":0},"schema":"https://github.com/citation-style-language/schema/raw/master/csl-citation.json"}</w:instrText>
      </w:r>
      <w:r w:rsidR="00186AC7">
        <w:rPr>
          <w:rFonts w:cs="Arial"/>
          <w:lang w:val="en-GB"/>
        </w:rPr>
        <w:fldChar w:fldCharType="separate"/>
      </w:r>
      <w:r w:rsidR="00186AC7" w:rsidRPr="00186AC7">
        <w:rPr>
          <w:rFonts w:cs="Arial"/>
          <w:noProof/>
          <w:lang w:val="en-GB"/>
        </w:rPr>
        <w:t>(</w:t>
      </w:r>
      <w:r w:rsidR="00186AC7">
        <w:rPr>
          <w:rFonts w:cs="Arial"/>
          <w:noProof/>
          <w:lang w:val="en-GB"/>
        </w:rPr>
        <w:t xml:space="preserve">Waldram, 1988, as cited in </w:t>
      </w:r>
      <w:r w:rsidR="00186AC7" w:rsidRPr="00186AC7">
        <w:rPr>
          <w:rFonts w:cs="Arial"/>
          <w:noProof/>
          <w:lang w:val="en-GB"/>
        </w:rPr>
        <w:t>Livingston et al., 2001)</w:t>
      </w:r>
      <w:r w:rsidR="00186AC7">
        <w:rPr>
          <w:rFonts w:cs="Arial"/>
          <w:lang w:val="en-GB"/>
        </w:rPr>
        <w:fldChar w:fldCharType="end"/>
      </w:r>
      <w:r w:rsidRPr="00471026">
        <w:rPr>
          <w:rFonts w:cs="Arial"/>
          <w:lang w:val="en-GB"/>
        </w:rPr>
        <w:t>.</w:t>
      </w:r>
    </w:p>
    <w:p w14:paraId="5741900F" w14:textId="18A771F7" w:rsidR="00453E24" w:rsidRPr="00471026" w:rsidRDefault="00C74EEF" w:rsidP="00222319">
      <w:pPr>
        <w:pStyle w:val="CETHeading1"/>
        <w:spacing w:before="120"/>
        <w:rPr>
          <w:rFonts w:cs="Arial"/>
          <w:lang w:val="en-GB"/>
        </w:rPr>
      </w:pPr>
      <w:r w:rsidRPr="00471026">
        <w:rPr>
          <w:rFonts w:cs="Arial"/>
          <w:lang w:val="en-GB"/>
        </w:rPr>
        <w:t xml:space="preserve">Design of a protocol for the systematic review of </w:t>
      </w:r>
      <w:r w:rsidR="00A45D9B" w:rsidRPr="00471026">
        <w:rPr>
          <w:rFonts w:cs="Arial"/>
          <w:lang w:val="en-GB"/>
        </w:rPr>
        <w:t>abnormal events</w:t>
      </w:r>
    </w:p>
    <w:p w14:paraId="196FD5EC" w14:textId="49D6D5FE" w:rsidR="006F103B" w:rsidRPr="00471026" w:rsidRDefault="00664008" w:rsidP="006F103B">
      <w:pPr>
        <w:pStyle w:val="CETBodytext"/>
        <w:rPr>
          <w:rFonts w:cs="Arial"/>
          <w:lang w:val="en-GB"/>
        </w:rPr>
      </w:pPr>
      <w:r>
        <w:rPr>
          <w:rFonts w:cs="Arial"/>
          <w:lang w:val="en-GB"/>
        </w:rPr>
        <w:t>The following</w:t>
      </w:r>
      <w:r w:rsidRPr="00471026">
        <w:rPr>
          <w:rFonts w:cs="Arial"/>
          <w:lang w:val="en-GB"/>
        </w:rPr>
        <w:t xml:space="preserve"> </w:t>
      </w:r>
      <w:r w:rsidR="006F103B" w:rsidRPr="00471026">
        <w:rPr>
          <w:rFonts w:cs="Arial"/>
          <w:lang w:val="en-GB"/>
        </w:rPr>
        <w:t xml:space="preserve">requirements were defined for the design of the protocol: a) it should enable </w:t>
      </w:r>
      <w:r w:rsidR="00A45D9B" w:rsidRPr="00471026">
        <w:rPr>
          <w:rFonts w:cs="Arial"/>
          <w:lang w:val="en-GB"/>
        </w:rPr>
        <w:t>the identification of</w:t>
      </w:r>
      <w:r w:rsidR="006F103B" w:rsidRPr="00471026">
        <w:rPr>
          <w:rFonts w:cs="Arial"/>
          <w:lang w:val="en-GB"/>
        </w:rPr>
        <w:t xml:space="preserve"> contributing factors in a systematic way and with the highest degree of objectivity; b) it should in</w:t>
      </w:r>
      <w:r w:rsidR="00A45D9B" w:rsidRPr="00471026">
        <w:rPr>
          <w:rFonts w:cs="Arial"/>
          <w:lang w:val="en-GB"/>
        </w:rPr>
        <w:t>clude technical, but also human and</w:t>
      </w:r>
      <w:r w:rsidR="006F103B" w:rsidRPr="00471026">
        <w:rPr>
          <w:rFonts w:cs="Arial"/>
          <w:lang w:val="en-GB"/>
        </w:rPr>
        <w:t xml:space="preserve"> organisational factors in its identification; </w:t>
      </w:r>
      <w:r w:rsidR="00300FC8" w:rsidRPr="00471026">
        <w:rPr>
          <w:rFonts w:cs="Arial"/>
          <w:lang w:val="en-GB"/>
        </w:rPr>
        <w:t xml:space="preserve">and c) its implementation should be aimed at determining what factors contribute to the occurrence of events, rather than creating a "fault tree" or finding the </w:t>
      </w:r>
      <w:r w:rsidR="00300FC8" w:rsidRPr="00471026">
        <w:rPr>
          <w:rFonts w:cs="Arial"/>
          <w:lang w:val="en-GB"/>
        </w:rPr>
        <w:lastRenderedPageBreak/>
        <w:t xml:space="preserve">root cause. </w:t>
      </w:r>
      <w:r w:rsidR="006F103B" w:rsidRPr="00471026">
        <w:rPr>
          <w:rFonts w:cs="Arial"/>
          <w:lang w:val="en-GB"/>
        </w:rPr>
        <w:t xml:space="preserve">Based on these </w:t>
      </w:r>
      <w:r w:rsidR="006F780F" w:rsidRPr="006F780F">
        <w:rPr>
          <w:rFonts w:cs="Arial"/>
          <w:highlight w:val="yellow"/>
          <w:lang w:val="en-GB"/>
        </w:rPr>
        <w:t>three</w:t>
      </w:r>
      <w:r>
        <w:rPr>
          <w:rFonts w:cs="Arial"/>
          <w:lang w:val="en-GB"/>
        </w:rPr>
        <w:t xml:space="preserve"> </w:t>
      </w:r>
      <w:r w:rsidR="006F103B" w:rsidRPr="00471026">
        <w:rPr>
          <w:rFonts w:cs="Arial"/>
          <w:lang w:val="en-GB"/>
        </w:rPr>
        <w:t xml:space="preserve">considerations, the protocol </w:t>
      </w:r>
      <w:r w:rsidR="00A45D9B" w:rsidRPr="00471026">
        <w:rPr>
          <w:rFonts w:cs="Arial"/>
          <w:lang w:val="en-GB"/>
        </w:rPr>
        <w:t>is</w:t>
      </w:r>
      <w:r w:rsidR="006F103B" w:rsidRPr="00471026">
        <w:rPr>
          <w:rFonts w:cs="Arial"/>
          <w:lang w:val="en-GB"/>
        </w:rPr>
        <w:t xml:space="preserve"> referred to as "Incident Contributing Factors Analysis" (hereafter ICFA).</w:t>
      </w:r>
      <w:r w:rsidR="00C5747B" w:rsidRPr="00471026">
        <w:rPr>
          <w:rFonts w:cs="Arial"/>
          <w:lang w:val="en-GB"/>
        </w:rPr>
        <w:t xml:space="preserve"> </w:t>
      </w:r>
      <w:r w:rsidR="00944FE1" w:rsidRPr="00471026">
        <w:rPr>
          <w:rFonts w:cs="Arial"/>
          <w:lang w:val="en-GB"/>
        </w:rPr>
        <w:t>A s</w:t>
      </w:r>
      <w:r w:rsidR="006F103B" w:rsidRPr="00471026">
        <w:rPr>
          <w:rFonts w:cs="Arial"/>
          <w:lang w:val="en-GB"/>
        </w:rPr>
        <w:t xml:space="preserve">ystematic application of the ICFA protocol to a large number of incidents will </w:t>
      </w:r>
      <w:r w:rsidR="00944FE1" w:rsidRPr="00471026">
        <w:rPr>
          <w:rFonts w:cs="Arial"/>
          <w:lang w:val="en-GB"/>
        </w:rPr>
        <w:t>allow the identification of</w:t>
      </w:r>
      <w:r w:rsidR="006F103B" w:rsidRPr="00471026">
        <w:rPr>
          <w:rFonts w:cs="Arial"/>
          <w:lang w:val="en-GB"/>
        </w:rPr>
        <w:t xml:space="preserve"> the typology of contributing factors and other failures involved in HRS</w:t>
      </w:r>
      <w:r w:rsidR="00596570" w:rsidRPr="00471026">
        <w:rPr>
          <w:rFonts w:cs="Arial"/>
          <w:lang w:val="en-GB"/>
        </w:rPr>
        <w:t>s</w:t>
      </w:r>
      <w:r w:rsidR="006F103B" w:rsidRPr="00471026">
        <w:rPr>
          <w:rFonts w:cs="Arial"/>
          <w:lang w:val="en-GB"/>
        </w:rPr>
        <w:t xml:space="preserve"> events. This categorisation should facilitate the establishment of a hierarchy of risk factors that will contribute to effective risk management of HRS.</w:t>
      </w:r>
    </w:p>
    <w:p w14:paraId="47BBAFA8" w14:textId="0754A4A1" w:rsidR="00EF5641" w:rsidRDefault="006412B9" w:rsidP="00104A18">
      <w:pPr>
        <w:pStyle w:val="CETBodytext"/>
        <w:rPr>
          <w:rFonts w:cs="Arial"/>
          <w:lang w:val="en-GB"/>
        </w:rPr>
      </w:pPr>
      <w:r w:rsidRPr="00471026">
        <w:rPr>
          <w:rFonts w:cs="Arial"/>
          <w:lang w:val="en-GB"/>
        </w:rPr>
        <w:t xml:space="preserve">The stages </w:t>
      </w:r>
      <w:r w:rsidR="00664008">
        <w:rPr>
          <w:rFonts w:cs="Arial"/>
          <w:lang w:val="en-GB"/>
        </w:rPr>
        <w:t>for</w:t>
      </w:r>
      <w:r w:rsidR="00664008" w:rsidRPr="00471026">
        <w:rPr>
          <w:rFonts w:cs="Arial"/>
          <w:lang w:val="en-GB"/>
        </w:rPr>
        <w:t xml:space="preserve"> </w:t>
      </w:r>
      <w:r w:rsidRPr="00471026">
        <w:rPr>
          <w:rFonts w:cs="Arial"/>
          <w:lang w:val="en-GB"/>
        </w:rPr>
        <w:t>shaping the incident analysis protocol are shown below (see Figure 1):</w:t>
      </w:r>
    </w:p>
    <w:p w14:paraId="553C6411" w14:textId="77777777" w:rsidR="00DD11FB" w:rsidRDefault="00DD11FB" w:rsidP="00104A18">
      <w:pPr>
        <w:pStyle w:val="CETBodytext"/>
        <w:rPr>
          <w:rFonts w:cs="Arial"/>
          <w:lang w:val="en-GB"/>
        </w:rPr>
      </w:pPr>
    </w:p>
    <w:p w14:paraId="629E56FF" w14:textId="745898EA" w:rsidR="00104A18" w:rsidRPr="00471026" w:rsidRDefault="00EF5641" w:rsidP="005B0273">
      <w:pPr>
        <w:pStyle w:val="CETBodytext"/>
        <w:jc w:val="left"/>
        <w:rPr>
          <w:rFonts w:cs="Arial"/>
          <w:lang w:val="en-GB"/>
        </w:rPr>
      </w:pPr>
      <w:r w:rsidRPr="00471026">
        <w:rPr>
          <w:rFonts w:cs="Arial"/>
          <w:noProof/>
          <w:lang w:val="es-ES" w:eastAsia="es-ES"/>
        </w:rPr>
        <w:drawing>
          <wp:inline distT="0" distB="0" distL="0" distR="0" wp14:anchorId="04A88ADA" wp14:editId="3FA8A9A1">
            <wp:extent cx="5581402" cy="524495"/>
            <wp:effectExtent l="0" t="0" r="635" b="9525"/>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83169" cy="543455"/>
                    </a:xfrm>
                    <a:prstGeom prst="rect">
                      <a:avLst/>
                    </a:prstGeom>
                    <a:noFill/>
                  </pic:spPr>
                </pic:pic>
              </a:graphicData>
            </a:graphic>
          </wp:inline>
        </w:drawing>
      </w:r>
    </w:p>
    <w:p w14:paraId="384CAA94" w14:textId="553B20CC" w:rsidR="005B0273" w:rsidRPr="00471026" w:rsidRDefault="005B0273" w:rsidP="005B0273">
      <w:pPr>
        <w:pStyle w:val="CETCaption"/>
        <w:rPr>
          <w:rFonts w:cs="Arial"/>
        </w:rPr>
      </w:pPr>
      <w:r w:rsidRPr="00471026">
        <w:rPr>
          <w:rStyle w:val="CETCaptionCarattere"/>
          <w:rFonts w:cs="Arial"/>
          <w:i/>
        </w:rPr>
        <w:t xml:space="preserve">Figure 1: </w:t>
      </w:r>
      <w:r w:rsidR="006412B9" w:rsidRPr="00471026">
        <w:rPr>
          <w:rStyle w:val="CETCaptionCarattere"/>
          <w:rFonts w:cs="Arial"/>
          <w:i/>
        </w:rPr>
        <w:t>ICFA protocol development stages.</w:t>
      </w:r>
    </w:p>
    <w:p w14:paraId="510481CA" w14:textId="358C8344" w:rsidR="00C74EEF" w:rsidRPr="00471026" w:rsidRDefault="006412B9" w:rsidP="00C74EEF">
      <w:pPr>
        <w:pStyle w:val="CETBodytext"/>
        <w:rPr>
          <w:rFonts w:cs="Arial"/>
          <w:i/>
          <w:lang w:val="en-GB"/>
        </w:rPr>
      </w:pPr>
      <w:r w:rsidRPr="00471026">
        <w:rPr>
          <w:rFonts w:cs="Arial"/>
          <w:lang w:val="en-GB"/>
        </w:rPr>
        <w:t xml:space="preserve">As noted above, the review of incident analysis methodologies used in technologically complex systems led to the identification of MORT and SACA as proven and potentially adaptable methodologies. This review also </w:t>
      </w:r>
      <w:r w:rsidR="00596570" w:rsidRPr="00471026">
        <w:rPr>
          <w:rFonts w:cs="Arial"/>
          <w:lang w:val="en-GB"/>
        </w:rPr>
        <w:t>resulted in</w:t>
      </w:r>
      <w:r w:rsidRPr="00471026">
        <w:rPr>
          <w:rFonts w:cs="Arial"/>
          <w:lang w:val="en-GB"/>
        </w:rPr>
        <w:t xml:space="preserve"> the identification of the NRI MORT User's Manual</w:t>
      </w:r>
      <w:r w:rsidR="00596570" w:rsidRPr="00471026">
        <w:rPr>
          <w:rFonts w:cs="Arial"/>
          <w:lang w:val="en-GB"/>
        </w:rPr>
        <w:t xml:space="preserve"> </w:t>
      </w:r>
      <w:r w:rsidR="00C20E83">
        <w:rPr>
          <w:rFonts w:cs="Arial"/>
          <w:lang w:val="en-GB"/>
        </w:rPr>
        <w:fldChar w:fldCharType="begin" w:fldLock="1"/>
      </w:r>
      <w:r w:rsidR="00C94DC1">
        <w:rPr>
          <w:rFonts w:cs="Arial"/>
          <w:lang w:val="en-GB"/>
        </w:rPr>
        <w:instrText>ADDIN CSL_CITATION {"citationItems":[{"id":"ITEM-1","itemData":{"ISBN":"978–90–77284–08–7","author":[{"dropping-particle":"","family":"Kingston","given":"J.","non-dropping-particle":"","parse-names":false,"suffix":""},{"dropping-particle":"","family":"Koornneef","given":"F.","non-dropping-particle":"","parse-names":false,"suffix":""},{"dropping-particle":"","family":"Ruilt","given":"J.V.","non-dropping-particle":"","parse-names":false,"suffix":""},{"dropping-particle":"","family":"Frei","given":"R.","non-dropping-particle":"","parse-names":false,"suffix":""},{"dropping-particle":"","family":"Schallier","given":"P.","non-dropping-particle":"","parse-names":false,"suffix":""}],"edition":"Second Edi","id":"ITEM-1","issued":{"date-parts":[["2009"]]},"publisher":"The Noordwijk Risk Initiative Foundation","title":"User's Manual: for use with the management oversight and risk tree analytical logic diagram","type":"book"},"uris":["http://www.mendeley.com/documents/?uuid=0f677029-832c-30ec-ade5-bbe42a6419e8"]}],"mendeley":{"formattedCitation":"(Kingston et al., 2009)","plainTextFormattedCitation":"(Kingston et al., 2009)","previouslyFormattedCitation":"(Kingston et al., 2009)"},"properties":{"noteIndex":0},"schema":"https://github.com/citation-style-language/schema/raw/master/csl-citation.json"}</w:instrText>
      </w:r>
      <w:r w:rsidR="00C20E83">
        <w:rPr>
          <w:rFonts w:cs="Arial"/>
          <w:lang w:val="en-GB"/>
        </w:rPr>
        <w:fldChar w:fldCharType="separate"/>
      </w:r>
      <w:r w:rsidR="00107736" w:rsidRPr="00C94DC1">
        <w:rPr>
          <w:rFonts w:cs="Arial"/>
          <w:noProof/>
          <w:lang w:val="en-GB"/>
        </w:rPr>
        <w:t>(Kingston et al., 2009)</w:t>
      </w:r>
      <w:r w:rsidR="00C20E83">
        <w:rPr>
          <w:rFonts w:cs="Arial"/>
          <w:lang w:val="en-GB"/>
        </w:rPr>
        <w:fldChar w:fldCharType="end"/>
      </w:r>
      <w:r w:rsidR="006F780F" w:rsidRPr="006F780F">
        <w:rPr>
          <w:rFonts w:cs="Arial"/>
          <w:highlight w:val="yellow"/>
          <w:lang w:val="en-GB"/>
        </w:rPr>
        <w:t>, a</w:t>
      </w:r>
      <w:r w:rsidRPr="006F780F">
        <w:rPr>
          <w:rFonts w:cs="Arial"/>
          <w:highlight w:val="yellow"/>
          <w:lang w:val="en-GB"/>
        </w:rPr>
        <w:t xml:space="preserve"> document</w:t>
      </w:r>
      <w:r w:rsidRPr="00471026">
        <w:rPr>
          <w:rFonts w:cs="Arial"/>
          <w:lang w:val="en-GB"/>
        </w:rPr>
        <w:t xml:space="preserve"> of great interest for this study as it provides a broad and accurate categorisation of potential factors involved in events.</w:t>
      </w:r>
      <w:r w:rsidR="009B4641" w:rsidRPr="00471026">
        <w:rPr>
          <w:rFonts w:cs="Arial"/>
          <w:lang w:val="en-GB"/>
        </w:rPr>
        <w:t xml:space="preserve"> </w:t>
      </w:r>
      <w:r w:rsidR="00C74EEF" w:rsidRPr="00471026">
        <w:rPr>
          <w:rFonts w:cs="Arial"/>
          <w:lang w:val="en-GB"/>
        </w:rPr>
        <w:t xml:space="preserve">Based on the NRI MORT Users' Manual and the SACA Methodology, 10 potential contributing factors and 35 sub-factors were established. The list of contributing factors is shown in </w:t>
      </w:r>
      <w:r w:rsidR="00664008">
        <w:rPr>
          <w:rFonts w:cs="Arial"/>
          <w:lang w:val="en-GB"/>
        </w:rPr>
        <w:t>T</w:t>
      </w:r>
      <w:r w:rsidR="00C74EEF" w:rsidRPr="00471026">
        <w:rPr>
          <w:rFonts w:cs="Arial"/>
          <w:lang w:val="en-GB"/>
        </w:rPr>
        <w:t>able 1.</w:t>
      </w:r>
    </w:p>
    <w:p w14:paraId="0EA9CF2C" w14:textId="448831A0" w:rsidR="004B407A" w:rsidRPr="00471026" w:rsidRDefault="004B407A" w:rsidP="004B407A">
      <w:pPr>
        <w:pStyle w:val="CETCaption"/>
        <w:rPr>
          <w:rFonts w:cs="Arial"/>
        </w:rPr>
      </w:pPr>
      <w:r w:rsidRPr="00471026">
        <w:rPr>
          <w:rStyle w:val="CETCaptionCarattere"/>
          <w:rFonts w:cs="Arial"/>
          <w:i/>
        </w:rPr>
        <w:t>Table 1: List of contributing factors and sub-factors</w:t>
      </w:r>
      <w:r w:rsidR="00C74EEF" w:rsidRPr="00471026">
        <w:rPr>
          <w:rFonts w:cs="Arial"/>
        </w:rPr>
        <w:t>.</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2835"/>
        <w:gridCol w:w="5952"/>
      </w:tblGrid>
      <w:tr w:rsidR="007D0243" w:rsidRPr="00471026" w14:paraId="09544F2E" w14:textId="77777777" w:rsidTr="002617F3">
        <w:tc>
          <w:tcPr>
            <w:tcW w:w="2835" w:type="dxa"/>
            <w:tcBorders>
              <w:top w:val="single" w:sz="12" w:space="0" w:color="008000"/>
              <w:bottom w:val="single" w:sz="6" w:space="0" w:color="008000"/>
            </w:tcBorders>
            <w:shd w:val="clear" w:color="auto" w:fill="FFFFFF"/>
          </w:tcPr>
          <w:p w14:paraId="56C47D21" w14:textId="77777777" w:rsidR="007D0243" w:rsidRPr="00471026" w:rsidRDefault="007D0243" w:rsidP="007D0243">
            <w:pPr>
              <w:rPr>
                <w:rFonts w:cs="Arial"/>
              </w:rPr>
            </w:pPr>
            <w:r w:rsidRPr="00471026">
              <w:rPr>
                <w:rFonts w:cs="Arial"/>
              </w:rPr>
              <w:t>Factors</w:t>
            </w:r>
          </w:p>
        </w:tc>
        <w:tc>
          <w:tcPr>
            <w:tcW w:w="5952" w:type="dxa"/>
            <w:tcBorders>
              <w:top w:val="single" w:sz="12" w:space="0" w:color="008000"/>
              <w:bottom w:val="single" w:sz="6" w:space="0" w:color="008000"/>
            </w:tcBorders>
            <w:shd w:val="clear" w:color="auto" w:fill="FFFFFF"/>
          </w:tcPr>
          <w:p w14:paraId="4B013B7F" w14:textId="77777777" w:rsidR="007D0243" w:rsidRPr="00471026" w:rsidRDefault="007D0243" w:rsidP="003D6749">
            <w:pPr>
              <w:ind w:left="164"/>
              <w:rPr>
                <w:rFonts w:cs="Arial"/>
              </w:rPr>
            </w:pPr>
            <w:r w:rsidRPr="00471026">
              <w:rPr>
                <w:rFonts w:cs="Arial"/>
              </w:rPr>
              <w:t>Sub-factors</w:t>
            </w:r>
          </w:p>
        </w:tc>
      </w:tr>
      <w:tr w:rsidR="007D0243" w:rsidRPr="00471026" w14:paraId="29AAB6FE" w14:textId="77777777" w:rsidTr="002617F3">
        <w:tc>
          <w:tcPr>
            <w:tcW w:w="2835" w:type="dxa"/>
            <w:shd w:val="clear" w:color="auto" w:fill="FFFFFF"/>
          </w:tcPr>
          <w:p w14:paraId="026E5B9A" w14:textId="77777777" w:rsidR="007D0243" w:rsidRPr="00471026" w:rsidRDefault="007D0243" w:rsidP="007D0243">
            <w:pPr>
              <w:jc w:val="left"/>
              <w:rPr>
                <w:rFonts w:cs="Arial"/>
              </w:rPr>
            </w:pPr>
            <w:r w:rsidRPr="00471026">
              <w:rPr>
                <w:rFonts w:cs="Arial"/>
              </w:rPr>
              <w:t>1. Technical Information System</w:t>
            </w:r>
          </w:p>
        </w:tc>
        <w:tc>
          <w:tcPr>
            <w:tcW w:w="5952" w:type="dxa"/>
            <w:shd w:val="clear" w:color="auto" w:fill="FFFFFF"/>
          </w:tcPr>
          <w:p w14:paraId="5EBCC5C9" w14:textId="77777777" w:rsidR="007D0243" w:rsidRPr="00471026" w:rsidRDefault="007D0243" w:rsidP="003D6749">
            <w:pPr>
              <w:spacing w:line="240" w:lineRule="auto"/>
              <w:ind w:left="164"/>
              <w:rPr>
                <w:rFonts w:cs="Arial"/>
              </w:rPr>
            </w:pPr>
            <w:r w:rsidRPr="00471026">
              <w:rPr>
                <w:rFonts w:cs="Arial"/>
              </w:rPr>
              <w:t>1.1. Technical Information</w:t>
            </w:r>
          </w:p>
          <w:p w14:paraId="0AFC9B9F" w14:textId="452CD088" w:rsidR="007D0243" w:rsidRPr="00471026" w:rsidRDefault="00E25B99" w:rsidP="003D6749">
            <w:pPr>
              <w:spacing w:line="240" w:lineRule="auto"/>
              <w:ind w:left="164"/>
              <w:rPr>
                <w:rFonts w:cs="Arial"/>
              </w:rPr>
            </w:pPr>
            <w:r w:rsidRPr="00471026">
              <w:rPr>
                <w:rFonts w:cs="Arial"/>
              </w:rPr>
              <w:t>1.2. Data Collection &amp; analysis</w:t>
            </w:r>
          </w:p>
          <w:p w14:paraId="17EAE6F3" w14:textId="77777777" w:rsidR="007D0243" w:rsidRPr="00471026" w:rsidRDefault="007D0243" w:rsidP="003D6749">
            <w:pPr>
              <w:spacing w:after="40" w:line="240" w:lineRule="auto"/>
              <w:ind w:left="164"/>
              <w:rPr>
                <w:rFonts w:cs="Arial"/>
              </w:rPr>
            </w:pPr>
            <w:r w:rsidRPr="00471026">
              <w:rPr>
                <w:rFonts w:cs="Arial"/>
              </w:rPr>
              <w:t>1.3. Trigger to Risk analysis</w:t>
            </w:r>
          </w:p>
        </w:tc>
      </w:tr>
      <w:tr w:rsidR="007D0243" w:rsidRPr="00471026" w14:paraId="0E783544" w14:textId="77777777" w:rsidTr="002617F3">
        <w:tc>
          <w:tcPr>
            <w:tcW w:w="2835" w:type="dxa"/>
            <w:shd w:val="clear" w:color="auto" w:fill="FFFFFF"/>
          </w:tcPr>
          <w:p w14:paraId="153B0964" w14:textId="77777777" w:rsidR="007D0243" w:rsidRPr="00471026" w:rsidRDefault="007D0243" w:rsidP="007D0243">
            <w:pPr>
              <w:ind w:right="-1"/>
              <w:jc w:val="left"/>
              <w:rPr>
                <w:rFonts w:cs="Arial"/>
                <w:szCs w:val="18"/>
              </w:rPr>
            </w:pPr>
            <w:r w:rsidRPr="00471026">
              <w:rPr>
                <w:rFonts w:cs="Arial"/>
                <w:szCs w:val="18"/>
              </w:rPr>
              <w:t>2. Operational Readiness</w:t>
            </w:r>
          </w:p>
        </w:tc>
        <w:tc>
          <w:tcPr>
            <w:tcW w:w="5952" w:type="dxa"/>
            <w:shd w:val="clear" w:color="auto" w:fill="FFFFFF"/>
          </w:tcPr>
          <w:p w14:paraId="14E3F003" w14:textId="77777777" w:rsidR="007D0243" w:rsidRPr="00471026" w:rsidRDefault="007D0243" w:rsidP="003D6749">
            <w:pPr>
              <w:spacing w:line="240" w:lineRule="auto"/>
              <w:ind w:left="164"/>
              <w:rPr>
                <w:rFonts w:cs="Arial"/>
              </w:rPr>
            </w:pPr>
            <w:r w:rsidRPr="00471026">
              <w:rPr>
                <w:rFonts w:cs="Arial"/>
                <w:szCs w:val="18"/>
              </w:rPr>
              <w:t>2</w:t>
            </w:r>
            <w:r w:rsidRPr="00471026">
              <w:rPr>
                <w:rFonts w:cs="Arial"/>
              </w:rPr>
              <w:t>.1. Verification of operational readiness</w:t>
            </w:r>
          </w:p>
          <w:p w14:paraId="077B5CCA" w14:textId="77777777" w:rsidR="007D0243" w:rsidRPr="00471026" w:rsidRDefault="007D0243" w:rsidP="003D6749">
            <w:pPr>
              <w:spacing w:line="240" w:lineRule="auto"/>
              <w:ind w:left="164"/>
              <w:rPr>
                <w:rFonts w:cs="Arial"/>
              </w:rPr>
            </w:pPr>
            <w:r w:rsidRPr="00471026">
              <w:rPr>
                <w:rFonts w:cs="Arial"/>
              </w:rPr>
              <w:t>2.2. Technical Support</w:t>
            </w:r>
          </w:p>
          <w:p w14:paraId="22A35F9E" w14:textId="77777777" w:rsidR="007D0243" w:rsidRPr="00471026" w:rsidRDefault="007D0243" w:rsidP="003D6749">
            <w:pPr>
              <w:spacing w:line="240" w:lineRule="auto"/>
              <w:ind w:left="164"/>
              <w:rPr>
                <w:rFonts w:cs="Arial"/>
              </w:rPr>
            </w:pPr>
            <w:r w:rsidRPr="00471026">
              <w:rPr>
                <w:rFonts w:cs="Arial"/>
              </w:rPr>
              <w:t>2.3. Interface between Operations and Maintenance or Testing Activities</w:t>
            </w:r>
          </w:p>
          <w:p w14:paraId="7097E6A5" w14:textId="77777777" w:rsidR="007D0243" w:rsidRPr="00471026" w:rsidRDefault="007D0243" w:rsidP="00E25B99">
            <w:pPr>
              <w:spacing w:after="40" w:line="240" w:lineRule="auto"/>
              <w:ind w:left="164"/>
              <w:rPr>
                <w:rFonts w:cs="Arial"/>
                <w:szCs w:val="18"/>
              </w:rPr>
            </w:pPr>
            <w:r w:rsidRPr="00471026">
              <w:rPr>
                <w:rFonts w:cs="Arial"/>
              </w:rPr>
              <w:t>2.4. Configuration</w:t>
            </w:r>
          </w:p>
        </w:tc>
      </w:tr>
      <w:tr w:rsidR="007D0243" w:rsidRPr="00471026" w14:paraId="61A66732" w14:textId="77777777" w:rsidTr="002617F3">
        <w:tc>
          <w:tcPr>
            <w:tcW w:w="2835" w:type="dxa"/>
            <w:shd w:val="clear" w:color="auto" w:fill="FFFFFF"/>
          </w:tcPr>
          <w:p w14:paraId="34A025C8" w14:textId="77777777" w:rsidR="007D0243" w:rsidRPr="00471026" w:rsidRDefault="007D0243" w:rsidP="007D0243">
            <w:pPr>
              <w:ind w:right="-1"/>
              <w:jc w:val="left"/>
              <w:rPr>
                <w:rFonts w:cs="Arial"/>
                <w:szCs w:val="18"/>
              </w:rPr>
            </w:pPr>
            <w:r w:rsidRPr="00471026">
              <w:rPr>
                <w:rFonts w:cs="Arial"/>
                <w:szCs w:val="18"/>
              </w:rPr>
              <w:t>3. Inspections</w:t>
            </w:r>
          </w:p>
        </w:tc>
        <w:tc>
          <w:tcPr>
            <w:tcW w:w="5952" w:type="dxa"/>
            <w:shd w:val="clear" w:color="auto" w:fill="FFFFFF"/>
          </w:tcPr>
          <w:p w14:paraId="7ED62658" w14:textId="77777777" w:rsidR="007D0243" w:rsidRPr="00471026" w:rsidRDefault="007D0243" w:rsidP="003D6749">
            <w:pPr>
              <w:spacing w:line="240" w:lineRule="auto"/>
              <w:ind w:left="164"/>
              <w:rPr>
                <w:rFonts w:cs="Arial"/>
              </w:rPr>
            </w:pPr>
            <w:r w:rsidRPr="00471026">
              <w:rPr>
                <w:rFonts w:cs="Arial"/>
              </w:rPr>
              <w:t>3.1. Planning process</w:t>
            </w:r>
          </w:p>
          <w:p w14:paraId="788A031D" w14:textId="77777777" w:rsidR="007D0243" w:rsidRPr="00471026" w:rsidRDefault="007D0243" w:rsidP="003D6749">
            <w:pPr>
              <w:spacing w:after="40" w:line="240" w:lineRule="auto"/>
              <w:ind w:left="164"/>
              <w:rPr>
                <w:rFonts w:cs="Arial"/>
              </w:rPr>
            </w:pPr>
            <w:r w:rsidRPr="00471026">
              <w:rPr>
                <w:rFonts w:cs="Arial"/>
              </w:rPr>
              <w:t>3.2. Execution</w:t>
            </w:r>
          </w:p>
        </w:tc>
      </w:tr>
      <w:tr w:rsidR="007D0243" w:rsidRPr="00471026" w14:paraId="6DF6FB22" w14:textId="77777777" w:rsidTr="002617F3">
        <w:tc>
          <w:tcPr>
            <w:tcW w:w="2835" w:type="dxa"/>
            <w:shd w:val="clear" w:color="auto" w:fill="FFFFFF"/>
          </w:tcPr>
          <w:p w14:paraId="47D1C626" w14:textId="77777777" w:rsidR="007D0243" w:rsidRPr="00471026" w:rsidRDefault="007D0243" w:rsidP="007D0243">
            <w:pPr>
              <w:ind w:right="-1"/>
              <w:jc w:val="left"/>
              <w:rPr>
                <w:rFonts w:cs="Arial"/>
                <w:szCs w:val="18"/>
              </w:rPr>
            </w:pPr>
            <w:r w:rsidRPr="00471026">
              <w:rPr>
                <w:rFonts w:cs="Arial"/>
                <w:szCs w:val="18"/>
              </w:rPr>
              <w:t>4. Maintenance</w:t>
            </w:r>
          </w:p>
        </w:tc>
        <w:tc>
          <w:tcPr>
            <w:tcW w:w="5952" w:type="dxa"/>
            <w:shd w:val="clear" w:color="auto" w:fill="FFFFFF"/>
          </w:tcPr>
          <w:p w14:paraId="55AB899A" w14:textId="77777777" w:rsidR="007D0243" w:rsidRPr="00471026" w:rsidRDefault="007D0243" w:rsidP="003D6749">
            <w:pPr>
              <w:spacing w:line="240" w:lineRule="auto"/>
              <w:ind w:left="164"/>
              <w:rPr>
                <w:rFonts w:cs="Arial"/>
              </w:rPr>
            </w:pPr>
            <w:r w:rsidRPr="00471026">
              <w:rPr>
                <w:rFonts w:cs="Arial"/>
              </w:rPr>
              <w:t>4.1. Planning process</w:t>
            </w:r>
          </w:p>
          <w:p w14:paraId="30CAC511" w14:textId="77777777" w:rsidR="007D0243" w:rsidRPr="00471026" w:rsidRDefault="007D0243" w:rsidP="00E25B99">
            <w:pPr>
              <w:spacing w:after="40" w:line="240" w:lineRule="auto"/>
              <w:ind w:left="164"/>
              <w:rPr>
                <w:rFonts w:cs="Arial"/>
                <w:szCs w:val="18"/>
              </w:rPr>
            </w:pPr>
            <w:r w:rsidRPr="00471026">
              <w:rPr>
                <w:rFonts w:cs="Arial"/>
              </w:rPr>
              <w:t>4.2. Execution</w:t>
            </w:r>
          </w:p>
        </w:tc>
      </w:tr>
      <w:tr w:rsidR="007D0243" w:rsidRPr="00471026" w14:paraId="0ECE8781" w14:textId="77777777" w:rsidTr="002617F3">
        <w:tc>
          <w:tcPr>
            <w:tcW w:w="2835" w:type="dxa"/>
            <w:shd w:val="clear" w:color="auto" w:fill="FFFFFF"/>
          </w:tcPr>
          <w:p w14:paraId="370D3F03" w14:textId="77777777" w:rsidR="007D0243" w:rsidRPr="00471026" w:rsidRDefault="007D0243" w:rsidP="007D0243">
            <w:pPr>
              <w:ind w:right="-1"/>
              <w:jc w:val="left"/>
              <w:rPr>
                <w:rFonts w:cs="Arial"/>
                <w:szCs w:val="18"/>
              </w:rPr>
            </w:pPr>
            <w:r w:rsidRPr="00471026">
              <w:rPr>
                <w:rFonts w:cs="Arial"/>
                <w:szCs w:val="18"/>
              </w:rPr>
              <w:t>5. Supervision and Staff Performance</w:t>
            </w:r>
          </w:p>
        </w:tc>
        <w:tc>
          <w:tcPr>
            <w:tcW w:w="5952" w:type="dxa"/>
            <w:shd w:val="clear" w:color="auto" w:fill="FFFFFF"/>
          </w:tcPr>
          <w:p w14:paraId="12373314" w14:textId="77777777" w:rsidR="007D0243" w:rsidRPr="00471026" w:rsidRDefault="007D0243" w:rsidP="003D6749">
            <w:pPr>
              <w:spacing w:line="240" w:lineRule="auto"/>
              <w:ind w:left="164"/>
              <w:rPr>
                <w:rFonts w:cs="Arial"/>
              </w:rPr>
            </w:pPr>
            <w:r w:rsidRPr="00471026">
              <w:rPr>
                <w:rFonts w:cs="Arial"/>
              </w:rPr>
              <w:t>5.1. Time</w:t>
            </w:r>
          </w:p>
          <w:p w14:paraId="6AAF49B3" w14:textId="77777777" w:rsidR="007D0243" w:rsidRPr="00471026" w:rsidRDefault="007D0243" w:rsidP="003D6749">
            <w:pPr>
              <w:spacing w:line="240" w:lineRule="auto"/>
              <w:ind w:left="164"/>
              <w:rPr>
                <w:rFonts w:cs="Arial"/>
              </w:rPr>
            </w:pPr>
            <w:r w:rsidRPr="00471026">
              <w:rPr>
                <w:rFonts w:cs="Arial"/>
              </w:rPr>
              <w:t>5.2. Continuity of Supervision</w:t>
            </w:r>
          </w:p>
          <w:p w14:paraId="61AB4426" w14:textId="77777777" w:rsidR="007D0243" w:rsidRPr="00471026" w:rsidRDefault="007D0243" w:rsidP="003D6749">
            <w:pPr>
              <w:spacing w:line="240" w:lineRule="auto"/>
              <w:ind w:left="164"/>
              <w:rPr>
                <w:rFonts w:cs="Arial"/>
              </w:rPr>
            </w:pPr>
            <w:r w:rsidRPr="00471026">
              <w:rPr>
                <w:rFonts w:cs="Arial"/>
              </w:rPr>
              <w:t>5.3. Detection/Correction of Hazards</w:t>
            </w:r>
          </w:p>
          <w:p w14:paraId="026243C5" w14:textId="77777777" w:rsidR="007D0243" w:rsidRPr="00471026" w:rsidRDefault="007D0243" w:rsidP="00E25B99">
            <w:pPr>
              <w:spacing w:after="40" w:line="240" w:lineRule="auto"/>
              <w:ind w:left="164"/>
              <w:rPr>
                <w:rFonts w:cs="Arial"/>
                <w:szCs w:val="18"/>
              </w:rPr>
            </w:pPr>
            <w:r w:rsidRPr="00471026">
              <w:rPr>
                <w:rFonts w:cs="Arial"/>
              </w:rPr>
              <w:t>5.4. Performance Errors</w:t>
            </w:r>
          </w:p>
        </w:tc>
      </w:tr>
      <w:tr w:rsidR="007D0243" w:rsidRPr="00471026" w14:paraId="4625833E" w14:textId="77777777" w:rsidTr="002617F3">
        <w:tc>
          <w:tcPr>
            <w:tcW w:w="2835" w:type="dxa"/>
            <w:shd w:val="clear" w:color="auto" w:fill="FFFFFF"/>
          </w:tcPr>
          <w:p w14:paraId="2431166A" w14:textId="384AB194" w:rsidR="007D0243" w:rsidRPr="00471026" w:rsidRDefault="007D0243" w:rsidP="007D0243">
            <w:pPr>
              <w:ind w:right="-1"/>
              <w:jc w:val="left"/>
              <w:rPr>
                <w:rFonts w:cs="Arial"/>
                <w:szCs w:val="18"/>
              </w:rPr>
            </w:pPr>
            <w:r w:rsidRPr="00471026">
              <w:rPr>
                <w:rFonts w:cs="Arial"/>
                <w:szCs w:val="18"/>
              </w:rPr>
              <w:t>6. Support of supervision</w:t>
            </w:r>
          </w:p>
        </w:tc>
        <w:tc>
          <w:tcPr>
            <w:tcW w:w="5952" w:type="dxa"/>
            <w:shd w:val="clear" w:color="auto" w:fill="FFFFFF"/>
          </w:tcPr>
          <w:p w14:paraId="0A35B3FB" w14:textId="0CBE7813" w:rsidR="007D0243" w:rsidRPr="00471026" w:rsidRDefault="007D0243" w:rsidP="003D6749">
            <w:pPr>
              <w:spacing w:line="240" w:lineRule="auto"/>
              <w:ind w:left="164"/>
              <w:rPr>
                <w:rFonts w:cs="Arial"/>
              </w:rPr>
            </w:pPr>
            <w:r w:rsidRPr="00471026">
              <w:rPr>
                <w:rFonts w:cs="Arial"/>
              </w:rPr>
              <w:t>6.1. Help and training supervisors</w:t>
            </w:r>
          </w:p>
          <w:p w14:paraId="494664FF" w14:textId="77777777" w:rsidR="007D0243" w:rsidRPr="00471026" w:rsidRDefault="007D0243" w:rsidP="003D6749">
            <w:pPr>
              <w:spacing w:line="240" w:lineRule="auto"/>
              <w:ind w:left="164"/>
              <w:rPr>
                <w:rFonts w:cs="Arial"/>
              </w:rPr>
            </w:pPr>
            <w:r w:rsidRPr="00471026">
              <w:rPr>
                <w:rFonts w:cs="Arial"/>
              </w:rPr>
              <w:t>6.2. Research and fact-finding</w:t>
            </w:r>
          </w:p>
          <w:p w14:paraId="2C9D690C" w14:textId="77777777" w:rsidR="007D0243" w:rsidRPr="00471026" w:rsidRDefault="007D0243" w:rsidP="003D6749">
            <w:pPr>
              <w:spacing w:line="240" w:lineRule="auto"/>
              <w:ind w:left="164"/>
              <w:rPr>
                <w:rFonts w:cs="Arial"/>
              </w:rPr>
            </w:pPr>
            <w:r w:rsidRPr="00471026">
              <w:rPr>
                <w:rFonts w:cs="Arial"/>
              </w:rPr>
              <w:t>6.3. Information exchange</w:t>
            </w:r>
          </w:p>
          <w:p w14:paraId="2DD3C61B" w14:textId="77777777" w:rsidR="007D0243" w:rsidRPr="00471026" w:rsidRDefault="007D0243" w:rsidP="003D6749">
            <w:pPr>
              <w:spacing w:line="240" w:lineRule="auto"/>
              <w:ind w:left="164"/>
              <w:rPr>
                <w:rFonts w:cs="Arial"/>
              </w:rPr>
            </w:pPr>
            <w:r w:rsidRPr="00471026">
              <w:rPr>
                <w:rFonts w:cs="Arial"/>
              </w:rPr>
              <w:t>6.4. Standards and directives</w:t>
            </w:r>
          </w:p>
          <w:p w14:paraId="3063BDFF" w14:textId="77777777" w:rsidR="007D0243" w:rsidRPr="00471026" w:rsidRDefault="007D0243" w:rsidP="003D6749">
            <w:pPr>
              <w:spacing w:line="240" w:lineRule="auto"/>
              <w:ind w:left="164"/>
              <w:rPr>
                <w:rFonts w:cs="Arial"/>
              </w:rPr>
            </w:pPr>
            <w:r w:rsidRPr="00471026">
              <w:rPr>
                <w:rFonts w:cs="Arial"/>
              </w:rPr>
              <w:t>6.5. Resources</w:t>
            </w:r>
          </w:p>
          <w:p w14:paraId="7D7C9E59" w14:textId="77777777" w:rsidR="007D0243" w:rsidRPr="00471026" w:rsidRDefault="007D0243" w:rsidP="003D6749">
            <w:pPr>
              <w:spacing w:line="240" w:lineRule="auto"/>
              <w:ind w:left="164"/>
              <w:rPr>
                <w:rFonts w:cs="Arial"/>
              </w:rPr>
            </w:pPr>
            <w:r w:rsidRPr="00471026">
              <w:rPr>
                <w:rFonts w:cs="Arial"/>
              </w:rPr>
              <w:t>6.6. Deployment of resources</w:t>
            </w:r>
          </w:p>
          <w:p w14:paraId="30D3BDCF" w14:textId="77777777" w:rsidR="007D0243" w:rsidRPr="00471026" w:rsidRDefault="007D0243" w:rsidP="003D6749">
            <w:pPr>
              <w:spacing w:after="40" w:line="240" w:lineRule="auto"/>
              <w:ind w:left="164"/>
              <w:rPr>
                <w:rFonts w:cs="Arial"/>
              </w:rPr>
            </w:pPr>
            <w:r w:rsidRPr="00471026">
              <w:rPr>
                <w:rFonts w:cs="Arial"/>
              </w:rPr>
              <w:t>6.7. Referred risk response</w:t>
            </w:r>
          </w:p>
        </w:tc>
      </w:tr>
      <w:tr w:rsidR="007D0243" w:rsidRPr="00471026" w14:paraId="20AE4FA8" w14:textId="77777777" w:rsidTr="002617F3">
        <w:tc>
          <w:tcPr>
            <w:tcW w:w="2835" w:type="dxa"/>
            <w:shd w:val="clear" w:color="auto" w:fill="FFFFFF"/>
          </w:tcPr>
          <w:p w14:paraId="2828C195" w14:textId="77777777" w:rsidR="007D0243" w:rsidRPr="00471026" w:rsidRDefault="007D0243" w:rsidP="007D0243">
            <w:pPr>
              <w:ind w:right="-1"/>
              <w:jc w:val="left"/>
              <w:rPr>
                <w:rFonts w:cs="Arial"/>
                <w:szCs w:val="18"/>
              </w:rPr>
            </w:pPr>
            <w:r w:rsidRPr="00471026">
              <w:rPr>
                <w:rFonts w:cs="Arial"/>
                <w:szCs w:val="18"/>
              </w:rPr>
              <w:t>7. Stabilisation and restoration</w:t>
            </w:r>
          </w:p>
        </w:tc>
        <w:tc>
          <w:tcPr>
            <w:tcW w:w="5952" w:type="dxa"/>
            <w:shd w:val="clear" w:color="auto" w:fill="FFFFFF"/>
          </w:tcPr>
          <w:p w14:paraId="3E9745B9" w14:textId="77777777" w:rsidR="007D0243" w:rsidRPr="00471026" w:rsidRDefault="007D0243" w:rsidP="003D6749">
            <w:pPr>
              <w:spacing w:line="240" w:lineRule="auto"/>
              <w:ind w:left="164"/>
              <w:rPr>
                <w:rFonts w:cs="Arial"/>
              </w:rPr>
            </w:pPr>
            <w:r w:rsidRPr="00471026">
              <w:rPr>
                <w:rFonts w:cs="Arial"/>
              </w:rPr>
              <w:t>7.1. Prevention of follow-on accident</w:t>
            </w:r>
          </w:p>
          <w:p w14:paraId="4C5AA6D1" w14:textId="77777777" w:rsidR="007D0243" w:rsidRPr="00471026" w:rsidRDefault="007D0243" w:rsidP="003D6749">
            <w:pPr>
              <w:spacing w:line="240" w:lineRule="auto"/>
              <w:ind w:left="164"/>
              <w:rPr>
                <w:rFonts w:cs="Arial"/>
              </w:rPr>
            </w:pPr>
            <w:r w:rsidRPr="00471026">
              <w:rPr>
                <w:rFonts w:cs="Arial"/>
              </w:rPr>
              <w:t>7.2. Emergency action (Fire-fighting, etc.)</w:t>
            </w:r>
          </w:p>
          <w:p w14:paraId="4CBE8D3F" w14:textId="77777777" w:rsidR="007D0243" w:rsidRPr="00471026" w:rsidRDefault="007D0243" w:rsidP="003D6749">
            <w:pPr>
              <w:spacing w:line="240" w:lineRule="auto"/>
              <w:ind w:left="164"/>
              <w:rPr>
                <w:rFonts w:cs="Arial"/>
              </w:rPr>
            </w:pPr>
            <w:r w:rsidRPr="00471026">
              <w:rPr>
                <w:rFonts w:cs="Arial"/>
              </w:rPr>
              <w:t xml:space="preserve">7.3. Rescue and salvage </w:t>
            </w:r>
          </w:p>
          <w:p w14:paraId="453D8440" w14:textId="77777777" w:rsidR="007D0243" w:rsidRPr="00471026" w:rsidRDefault="007D0243" w:rsidP="003D6749">
            <w:pPr>
              <w:spacing w:line="240" w:lineRule="auto"/>
              <w:ind w:left="164"/>
              <w:rPr>
                <w:rFonts w:cs="Arial"/>
              </w:rPr>
            </w:pPr>
            <w:r w:rsidRPr="00471026">
              <w:rPr>
                <w:rFonts w:cs="Arial"/>
              </w:rPr>
              <w:t>7.4. Medical Services</w:t>
            </w:r>
          </w:p>
          <w:p w14:paraId="64076756" w14:textId="77777777" w:rsidR="007D0243" w:rsidRPr="00471026" w:rsidRDefault="007D0243" w:rsidP="003D6749">
            <w:pPr>
              <w:spacing w:line="240" w:lineRule="auto"/>
              <w:ind w:left="164"/>
              <w:rPr>
                <w:rFonts w:cs="Arial"/>
              </w:rPr>
            </w:pPr>
            <w:r w:rsidRPr="00471026">
              <w:rPr>
                <w:rFonts w:cs="Arial"/>
              </w:rPr>
              <w:t>7.5. Dissemination of information</w:t>
            </w:r>
          </w:p>
          <w:p w14:paraId="0B143127" w14:textId="77777777" w:rsidR="007D0243" w:rsidRPr="00471026" w:rsidRDefault="007D0243" w:rsidP="003D6749">
            <w:pPr>
              <w:spacing w:after="40" w:line="240" w:lineRule="auto"/>
              <w:ind w:left="164"/>
              <w:rPr>
                <w:rFonts w:cs="Arial"/>
              </w:rPr>
            </w:pPr>
            <w:r w:rsidRPr="00471026">
              <w:rPr>
                <w:rFonts w:cs="Arial"/>
              </w:rPr>
              <w:t>7.6. Restoration and rehabilitation</w:t>
            </w:r>
          </w:p>
        </w:tc>
      </w:tr>
      <w:tr w:rsidR="007D0243" w:rsidRPr="00471026" w14:paraId="38101C20" w14:textId="77777777" w:rsidTr="002617F3">
        <w:tc>
          <w:tcPr>
            <w:tcW w:w="2835" w:type="dxa"/>
            <w:shd w:val="clear" w:color="auto" w:fill="FFFFFF"/>
          </w:tcPr>
          <w:p w14:paraId="5A329322" w14:textId="77777777" w:rsidR="007D0243" w:rsidRPr="00471026" w:rsidRDefault="007D0243" w:rsidP="007D0243">
            <w:pPr>
              <w:ind w:right="-1"/>
              <w:jc w:val="left"/>
              <w:rPr>
                <w:rFonts w:cs="Arial"/>
                <w:szCs w:val="18"/>
              </w:rPr>
            </w:pPr>
            <w:r w:rsidRPr="00471026">
              <w:rPr>
                <w:rFonts w:cs="Arial"/>
                <w:szCs w:val="18"/>
              </w:rPr>
              <w:t>8. Management and risk policies</w:t>
            </w:r>
          </w:p>
        </w:tc>
        <w:tc>
          <w:tcPr>
            <w:tcW w:w="5952" w:type="dxa"/>
            <w:shd w:val="clear" w:color="auto" w:fill="FFFFFF"/>
          </w:tcPr>
          <w:p w14:paraId="6143548B" w14:textId="77777777" w:rsidR="007D0243" w:rsidRPr="00471026" w:rsidRDefault="007D0243" w:rsidP="003D6749">
            <w:pPr>
              <w:spacing w:line="240" w:lineRule="auto"/>
              <w:ind w:left="164"/>
              <w:rPr>
                <w:rFonts w:cs="Arial"/>
              </w:rPr>
            </w:pPr>
            <w:r w:rsidRPr="00471026">
              <w:rPr>
                <w:rFonts w:cs="Arial"/>
              </w:rPr>
              <w:t>8.1. Management policy and implementation</w:t>
            </w:r>
          </w:p>
          <w:p w14:paraId="6F0F467D" w14:textId="77777777" w:rsidR="007D0243" w:rsidRPr="00471026" w:rsidRDefault="007D0243" w:rsidP="00E25B99">
            <w:pPr>
              <w:spacing w:after="40" w:line="240" w:lineRule="auto"/>
              <w:ind w:left="164"/>
              <w:rPr>
                <w:rFonts w:cs="Arial"/>
                <w:szCs w:val="18"/>
              </w:rPr>
            </w:pPr>
            <w:r w:rsidRPr="00471026">
              <w:rPr>
                <w:rFonts w:cs="Arial"/>
              </w:rPr>
              <w:t>8.2. Risk management policy and implementation</w:t>
            </w:r>
          </w:p>
        </w:tc>
      </w:tr>
      <w:tr w:rsidR="007D0243" w:rsidRPr="00471026" w14:paraId="6751938F" w14:textId="77777777" w:rsidTr="002617F3">
        <w:tc>
          <w:tcPr>
            <w:tcW w:w="2835" w:type="dxa"/>
            <w:shd w:val="clear" w:color="auto" w:fill="FFFFFF"/>
          </w:tcPr>
          <w:p w14:paraId="5D13D50F" w14:textId="77777777" w:rsidR="007D0243" w:rsidRPr="00471026" w:rsidRDefault="007D0243" w:rsidP="007D0243">
            <w:pPr>
              <w:ind w:right="-1"/>
              <w:jc w:val="left"/>
              <w:rPr>
                <w:rFonts w:cs="Arial"/>
                <w:szCs w:val="18"/>
              </w:rPr>
            </w:pPr>
            <w:r w:rsidRPr="00471026">
              <w:rPr>
                <w:rFonts w:cs="Arial"/>
                <w:szCs w:val="18"/>
              </w:rPr>
              <w:t>9. Risk analysis Process</w:t>
            </w:r>
          </w:p>
        </w:tc>
        <w:tc>
          <w:tcPr>
            <w:tcW w:w="5952" w:type="dxa"/>
            <w:shd w:val="clear" w:color="auto" w:fill="FFFFFF"/>
          </w:tcPr>
          <w:p w14:paraId="5CE18DB1" w14:textId="77777777" w:rsidR="007D0243" w:rsidRPr="00471026" w:rsidRDefault="007D0243" w:rsidP="003D6749">
            <w:pPr>
              <w:spacing w:line="240" w:lineRule="auto"/>
              <w:ind w:left="164"/>
              <w:rPr>
                <w:rFonts w:cs="Arial"/>
              </w:rPr>
            </w:pPr>
            <w:r w:rsidRPr="00471026">
              <w:rPr>
                <w:rFonts w:cs="Arial"/>
              </w:rPr>
              <w:t>9.1. Concepts and requirements</w:t>
            </w:r>
          </w:p>
          <w:p w14:paraId="5405B90F" w14:textId="77777777" w:rsidR="007D0243" w:rsidRPr="00471026" w:rsidRDefault="007D0243" w:rsidP="003D6749">
            <w:pPr>
              <w:spacing w:line="240" w:lineRule="auto"/>
              <w:ind w:left="164"/>
              <w:rPr>
                <w:rFonts w:cs="Arial"/>
              </w:rPr>
            </w:pPr>
            <w:r w:rsidRPr="00471026">
              <w:rPr>
                <w:rFonts w:cs="Arial"/>
              </w:rPr>
              <w:t>9.2. Design and development</w:t>
            </w:r>
          </w:p>
          <w:p w14:paraId="7A9954A7" w14:textId="77777777" w:rsidR="007D0243" w:rsidRPr="00471026" w:rsidRDefault="007D0243" w:rsidP="00E25B99">
            <w:pPr>
              <w:spacing w:after="40" w:line="240" w:lineRule="auto"/>
              <w:ind w:left="164"/>
              <w:rPr>
                <w:rFonts w:cs="Arial"/>
                <w:szCs w:val="18"/>
              </w:rPr>
            </w:pPr>
            <w:r w:rsidRPr="00471026">
              <w:rPr>
                <w:rFonts w:cs="Arial"/>
              </w:rPr>
              <w:t>9.3. Risk management assurance programme &amp; review</w:t>
            </w:r>
          </w:p>
        </w:tc>
      </w:tr>
      <w:tr w:rsidR="007D0243" w:rsidRPr="00471026" w14:paraId="3D5E71F8" w14:textId="77777777" w:rsidTr="002617F3">
        <w:tc>
          <w:tcPr>
            <w:tcW w:w="2835" w:type="dxa"/>
            <w:shd w:val="clear" w:color="auto" w:fill="FFFFFF"/>
          </w:tcPr>
          <w:p w14:paraId="3F96CFC2" w14:textId="77777777" w:rsidR="007D0243" w:rsidRPr="00471026" w:rsidRDefault="007D0243" w:rsidP="007D0243">
            <w:pPr>
              <w:ind w:right="-1"/>
              <w:jc w:val="left"/>
              <w:rPr>
                <w:rFonts w:cs="Arial"/>
                <w:szCs w:val="18"/>
              </w:rPr>
            </w:pPr>
            <w:r w:rsidRPr="00471026">
              <w:rPr>
                <w:rFonts w:cs="Arial"/>
                <w:szCs w:val="18"/>
              </w:rPr>
              <w:t>10. Outside Local Control</w:t>
            </w:r>
          </w:p>
        </w:tc>
        <w:tc>
          <w:tcPr>
            <w:tcW w:w="5952" w:type="dxa"/>
            <w:shd w:val="clear" w:color="auto" w:fill="FFFFFF"/>
          </w:tcPr>
          <w:p w14:paraId="17AD1427" w14:textId="77777777" w:rsidR="007D0243" w:rsidRPr="00471026" w:rsidRDefault="007D0243" w:rsidP="003D6749">
            <w:pPr>
              <w:spacing w:line="240" w:lineRule="auto"/>
              <w:ind w:left="164"/>
              <w:rPr>
                <w:rFonts w:cs="Arial"/>
              </w:rPr>
            </w:pPr>
            <w:r w:rsidRPr="00471026">
              <w:rPr>
                <w:rFonts w:cs="Arial"/>
              </w:rPr>
              <w:t xml:space="preserve">10.1. Failure by third part </w:t>
            </w:r>
          </w:p>
          <w:p w14:paraId="65EAEB5D" w14:textId="77777777" w:rsidR="007D0243" w:rsidRPr="00471026" w:rsidRDefault="007D0243" w:rsidP="003D6749">
            <w:pPr>
              <w:spacing w:line="240" w:lineRule="auto"/>
              <w:ind w:left="164"/>
              <w:rPr>
                <w:rFonts w:cs="Arial"/>
              </w:rPr>
            </w:pPr>
            <w:r w:rsidRPr="00471026">
              <w:rPr>
                <w:rFonts w:cs="Arial"/>
              </w:rPr>
              <w:t>10.2. Severe weather</w:t>
            </w:r>
          </w:p>
          <w:p w14:paraId="00544EC4" w14:textId="77777777" w:rsidR="007D0243" w:rsidRPr="00471026" w:rsidRDefault="007D0243" w:rsidP="003D6749">
            <w:pPr>
              <w:spacing w:line="240" w:lineRule="auto"/>
              <w:ind w:left="164"/>
              <w:rPr>
                <w:rFonts w:cs="Arial"/>
              </w:rPr>
            </w:pPr>
            <w:r w:rsidRPr="00471026">
              <w:rPr>
                <w:rFonts w:cs="Arial"/>
              </w:rPr>
              <w:t>10.3. Other factors</w:t>
            </w:r>
          </w:p>
        </w:tc>
      </w:tr>
    </w:tbl>
    <w:p w14:paraId="4C2A8807" w14:textId="2E934BAF" w:rsidR="009B4641" w:rsidRPr="00471026" w:rsidRDefault="009B4641" w:rsidP="009B4641">
      <w:pPr>
        <w:pStyle w:val="CETHeading1"/>
        <w:tabs>
          <w:tab w:val="num" w:pos="360"/>
        </w:tabs>
        <w:rPr>
          <w:rFonts w:cs="Arial"/>
          <w:lang w:val="en-GB"/>
        </w:rPr>
      </w:pPr>
      <w:r w:rsidRPr="00471026">
        <w:rPr>
          <w:rFonts w:cs="Arial"/>
          <w:lang w:val="en-GB"/>
        </w:rPr>
        <w:lastRenderedPageBreak/>
        <w:t xml:space="preserve">Pilot </w:t>
      </w:r>
      <w:r w:rsidR="00E05248" w:rsidRPr="00471026">
        <w:rPr>
          <w:rFonts w:cs="Arial"/>
          <w:lang w:val="en-GB"/>
        </w:rPr>
        <w:t>application of</w:t>
      </w:r>
      <w:r w:rsidR="005C283E" w:rsidRPr="00471026">
        <w:rPr>
          <w:rFonts w:cs="Arial"/>
          <w:lang w:val="en-GB"/>
        </w:rPr>
        <w:t xml:space="preserve"> the</w:t>
      </w:r>
      <w:r w:rsidR="00E05248" w:rsidRPr="00471026">
        <w:rPr>
          <w:rFonts w:cs="Arial"/>
          <w:lang w:val="en-GB"/>
        </w:rPr>
        <w:t xml:space="preserve"> ICFA protocol</w:t>
      </w:r>
    </w:p>
    <w:p w14:paraId="5CD2589A" w14:textId="0B209FE7" w:rsidR="00FD273E" w:rsidRPr="00471026" w:rsidRDefault="00FD273E" w:rsidP="0019655B">
      <w:pPr>
        <w:pStyle w:val="CETBodytext"/>
        <w:rPr>
          <w:rFonts w:cs="Arial"/>
          <w:lang w:val="en-GB"/>
        </w:rPr>
      </w:pPr>
      <w:r w:rsidRPr="00471026">
        <w:rPr>
          <w:rFonts w:cs="Arial"/>
          <w:lang w:val="en-GB"/>
        </w:rPr>
        <w:t xml:space="preserve">The </w:t>
      </w:r>
      <w:r w:rsidR="0019655B" w:rsidRPr="00471026">
        <w:rPr>
          <w:rFonts w:cs="Arial"/>
          <w:lang w:val="en-GB"/>
        </w:rPr>
        <w:t xml:space="preserve">pilot </w:t>
      </w:r>
      <w:r w:rsidRPr="00471026">
        <w:rPr>
          <w:rFonts w:cs="Arial"/>
          <w:lang w:val="en-GB"/>
        </w:rPr>
        <w:t>analysis was carried out by a team of three analysts, two</w:t>
      </w:r>
      <w:r w:rsidR="006A42DD">
        <w:rPr>
          <w:rFonts w:cs="Arial"/>
          <w:lang w:val="en-GB"/>
        </w:rPr>
        <w:t xml:space="preserve"> </w:t>
      </w:r>
      <w:r w:rsidRPr="00471026">
        <w:rPr>
          <w:rFonts w:cs="Arial"/>
          <w:lang w:val="en-GB"/>
        </w:rPr>
        <w:t>researchers with extensive experience in safety and risk management</w:t>
      </w:r>
      <w:r w:rsidR="00664008">
        <w:rPr>
          <w:rFonts w:cs="Arial"/>
          <w:lang w:val="en-GB"/>
        </w:rPr>
        <w:t>,</w:t>
      </w:r>
      <w:r w:rsidRPr="00471026">
        <w:rPr>
          <w:rFonts w:cs="Arial"/>
          <w:lang w:val="en-GB"/>
        </w:rPr>
        <w:t xml:space="preserve"> and a former plant manager</w:t>
      </w:r>
      <w:r w:rsidR="006F780F">
        <w:rPr>
          <w:rFonts w:cs="Arial"/>
          <w:lang w:val="en-GB"/>
        </w:rPr>
        <w:t xml:space="preserve"> </w:t>
      </w:r>
      <w:r w:rsidR="006F780F" w:rsidRPr="006F780F">
        <w:rPr>
          <w:rFonts w:cs="Arial"/>
          <w:highlight w:val="yellow"/>
          <w:lang w:val="en-GB"/>
        </w:rPr>
        <w:t>and</w:t>
      </w:r>
      <w:r w:rsidRPr="00471026">
        <w:rPr>
          <w:rFonts w:cs="Arial"/>
          <w:lang w:val="en-GB"/>
        </w:rPr>
        <w:t xml:space="preserve"> engineer </w:t>
      </w:r>
      <w:r w:rsidR="0019655B" w:rsidRPr="00471026">
        <w:rPr>
          <w:rFonts w:cs="Arial"/>
          <w:lang w:val="en-GB"/>
        </w:rPr>
        <w:t>of</w:t>
      </w:r>
      <w:r w:rsidRPr="00471026">
        <w:rPr>
          <w:rFonts w:cs="Arial"/>
          <w:lang w:val="en-GB"/>
        </w:rPr>
        <w:t xml:space="preserve"> three different nuclear power plants. </w:t>
      </w:r>
      <w:r w:rsidR="0019655B" w:rsidRPr="00471026">
        <w:rPr>
          <w:rFonts w:cs="Arial"/>
          <w:lang w:val="en-GB"/>
        </w:rPr>
        <w:t xml:space="preserve">Prior to the pilot, </w:t>
      </w:r>
      <w:r w:rsidR="00664008">
        <w:rPr>
          <w:rFonts w:cs="Arial"/>
          <w:lang w:val="en-GB"/>
        </w:rPr>
        <w:t xml:space="preserve">the </w:t>
      </w:r>
      <w:r w:rsidR="0019655B" w:rsidRPr="00471026">
        <w:rPr>
          <w:rFonts w:cs="Arial"/>
          <w:lang w:val="en-GB"/>
        </w:rPr>
        <w:t>analysts were traine</w:t>
      </w:r>
      <w:r w:rsidR="002129BA">
        <w:rPr>
          <w:rFonts w:cs="Arial"/>
          <w:lang w:val="en-GB"/>
        </w:rPr>
        <w:t xml:space="preserve">d by one of the MORT-NRI Guide </w:t>
      </w:r>
      <w:r w:rsidR="0019655B" w:rsidRPr="00471026">
        <w:rPr>
          <w:rFonts w:cs="Arial"/>
          <w:lang w:val="en-GB"/>
        </w:rPr>
        <w:t xml:space="preserve">authors, Dr John Kingston. </w:t>
      </w:r>
      <w:r w:rsidRPr="00471026">
        <w:rPr>
          <w:rFonts w:cs="Arial"/>
          <w:lang w:val="en-GB"/>
        </w:rPr>
        <w:t>The working session reviewed the list of factors and their scope. Standards and guidelines for the development of the pilot analysis were also established in order to minimi</w:t>
      </w:r>
      <w:r w:rsidR="002129BA">
        <w:rPr>
          <w:rFonts w:cs="Arial"/>
          <w:lang w:val="en-GB"/>
        </w:rPr>
        <w:t xml:space="preserve">se variability between analysts. </w:t>
      </w:r>
      <w:r w:rsidRPr="00471026">
        <w:rPr>
          <w:rFonts w:cs="Arial"/>
          <w:lang w:val="en-GB"/>
        </w:rPr>
        <w:t>Two general rules were agreed:</w:t>
      </w:r>
    </w:p>
    <w:p w14:paraId="14D6FC1D" w14:textId="10992ACC" w:rsidR="00FD273E" w:rsidRPr="00471026" w:rsidRDefault="00FD273E" w:rsidP="002617F3">
      <w:pPr>
        <w:pStyle w:val="CETBodytext"/>
        <w:spacing w:after="40"/>
        <w:ind w:left="170"/>
        <w:rPr>
          <w:rFonts w:cs="Arial"/>
          <w:lang w:val="en-GB"/>
        </w:rPr>
      </w:pPr>
      <w:r w:rsidRPr="00471026">
        <w:rPr>
          <w:rFonts w:cs="Arial"/>
          <w:lang w:val="en-GB"/>
        </w:rPr>
        <w:t xml:space="preserve">1) Principle of minimum inference: </w:t>
      </w:r>
      <w:r w:rsidR="0019655B" w:rsidRPr="00471026">
        <w:rPr>
          <w:rFonts w:cs="Arial"/>
          <w:lang w:val="en-GB"/>
        </w:rPr>
        <w:t>A</w:t>
      </w:r>
      <w:r w:rsidRPr="00471026">
        <w:rPr>
          <w:rFonts w:cs="Arial"/>
          <w:lang w:val="en-GB"/>
        </w:rPr>
        <w:t>nalyst</w:t>
      </w:r>
      <w:r w:rsidR="0019655B" w:rsidRPr="00471026">
        <w:rPr>
          <w:rFonts w:cs="Arial"/>
          <w:lang w:val="en-GB"/>
        </w:rPr>
        <w:t>s</w:t>
      </w:r>
      <w:r w:rsidRPr="00471026">
        <w:rPr>
          <w:rFonts w:cs="Arial"/>
          <w:lang w:val="en-GB"/>
        </w:rPr>
        <w:t xml:space="preserve"> should not fall into cause and effect reasoning when coding. Contributing factors </w:t>
      </w:r>
      <w:r w:rsidR="009B4641" w:rsidRPr="00471026">
        <w:rPr>
          <w:rFonts w:cs="Arial"/>
          <w:lang w:val="en-GB"/>
        </w:rPr>
        <w:t>must</w:t>
      </w:r>
      <w:r w:rsidRPr="00471026">
        <w:rPr>
          <w:rFonts w:cs="Arial"/>
          <w:lang w:val="en-GB"/>
        </w:rPr>
        <w:t xml:space="preserve"> be related to specific extracts (1 or 2 sentences) of </w:t>
      </w:r>
      <w:r w:rsidR="0019655B" w:rsidRPr="00471026">
        <w:rPr>
          <w:rFonts w:cs="Arial"/>
          <w:lang w:val="en-GB"/>
        </w:rPr>
        <w:t xml:space="preserve">the </w:t>
      </w:r>
      <w:r w:rsidRPr="00471026">
        <w:rPr>
          <w:rFonts w:cs="Arial"/>
          <w:lang w:val="en-GB"/>
        </w:rPr>
        <w:t>event information.</w:t>
      </w:r>
    </w:p>
    <w:p w14:paraId="0636B784" w14:textId="7E499F51" w:rsidR="00453E24" w:rsidRPr="00471026" w:rsidRDefault="00FD273E" w:rsidP="002617F3">
      <w:pPr>
        <w:pStyle w:val="CETBodytext"/>
        <w:spacing w:after="40"/>
        <w:ind w:left="170"/>
        <w:rPr>
          <w:rFonts w:cs="Arial"/>
          <w:lang w:val="en-GB"/>
        </w:rPr>
      </w:pPr>
      <w:r w:rsidRPr="00471026">
        <w:rPr>
          <w:rFonts w:cs="Arial"/>
          <w:lang w:val="en-GB"/>
        </w:rPr>
        <w:t>2) Principle of analyst consensus:</w:t>
      </w:r>
      <w:r w:rsidR="009B4641" w:rsidRPr="00471026">
        <w:rPr>
          <w:rFonts w:cs="Arial"/>
          <w:lang w:val="en-GB"/>
        </w:rPr>
        <w:t xml:space="preserve"> </w:t>
      </w:r>
      <w:r w:rsidR="0019655B" w:rsidRPr="00471026">
        <w:rPr>
          <w:rFonts w:cs="Arial"/>
          <w:lang w:val="en-GB"/>
        </w:rPr>
        <w:t xml:space="preserve">As a collaborative process, the log information must be supported by the team of analysts. Each factor must be </w:t>
      </w:r>
      <w:r w:rsidR="00CE1E1D" w:rsidRPr="00CE1E1D">
        <w:rPr>
          <w:rFonts w:cs="Arial"/>
          <w:highlight w:val="yellow"/>
          <w:lang w:val="en-GB"/>
        </w:rPr>
        <w:t>agreed</w:t>
      </w:r>
      <w:r w:rsidR="0019655B" w:rsidRPr="00471026">
        <w:rPr>
          <w:rFonts w:cs="Arial"/>
          <w:lang w:val="en-GB"/>
        </w:rPr>
        <w:t xml:space="preserve"> by </w:t>
      </w:r>
      <w:r w:rsidR="00222319">
        <w:rPr>
          <w:rFonts w:cs="Arial"/>
          <w:lang w:val="en-GB"/>
        </w:rPr>
        <w:t xml:space="preserve">at least </w:t>
      </w:r>
      <w:r w:rsidR="0019655B" w:rsidRPr="00471026">
        <w:rPr>
          <w:rFonts w:cs="Arial"/>
          <w:lang w:val="en-GB"/>
        </w:rPr>
        <w:t xml:space="preserve">two of the analysts. </w:t>
      </w:r>
    </w:p>
    <w:p w14:paraId="7F5106DD" w14:textId="4E12A154" w:rsidR="00FD273E" w:rsidRPr="00471026" w:rsidRDefault="00FD273E" w:rsidP="002C7707">
      <w:pPr>
        <w:pStyle w:val="CETBodytext"/>
        <w:rPr>
          <w:rFonts w:cs="Arial"/>
          <w:lang w:val="en-GB"/>
        </w:rPr>
      </w:pPr>
      <w:r w:rsidRPr="00471026">
        <w:rPr>
          <w:rFonts w:cs="Arial"/>
          <w:lang w:val="en-GB"/>
        </w:rPr>
        <w:t xml:space="preserve">HRSs events were collected from different databases identified from a literature review </w:t>
      </w:r>
      <w:r w:rsidR="00C20E83">
        <w:rPr>
          <w:rFonts w:cs="Arial"/>
          <w:lang w:val="en-GB"/>
        </w:rPr>
        <w:fldChar w:fldCharType="begin" w:fldLock="1"/>
      </w:r>
      <w:r w:rsidR="00C94DC1">
        <w:rPr>
          <w:rFonts w:cs="Arial"/>
          <w:lang w:val="en-GB"/>
        </w:rPr>
        <w:instrText>ADDIN CSL_CITATION {"citationItems":[{"id":"ITEM-1","itemData":{"DOI":"10.1016/j.ijhydene.2022.03.170","ISSN":"03603199","abstract":"The manuscript firstly describes the data collection and validation process for the European Hydrogen Incidents and Accidents Database (HIAD 2.0), a public repository tool collecting systematic data on hydrogen-related incidents and near-misses. This is followed by an overview of HIAD 2.0, which currently contains 706 events. Subsequently, the approaches and procedures followed by the authors to derive lessons learned and formulate recommendations from the events are described. The lessons learned have been divided into four categories including system design; system manufacturing, installation and modification; human factors and emergency response. An overarching lesson learned is that minor events which occurred simultaneously could still result in serious consequences, echoing James Reason's Swiss Cheese theory. Recommendations were formulated in relation to the established safety principles adapted for hydrogen by the European Hydrogen Safety Panel, considering operational modes, industrial sectors, and human factors. This workprovide an important contribution to the safety of systems involving hydrogen, benefitting technical safety engineers, emergency responders and emergency services. The lesson learned and the discussion derived from the statistics can also be used in training and risk assessment studies, being of equal importance to promote and assist the development of sound safety culture in organisations.","author":[{"dropping-particle":"","family":"Wen","given":"Jennifer X.","non-dropping-particle":"","parse-names":false,"suffix":""},{"dropping-particle":"","family":"Marono","given":"Marta","non-dropping-particle":"","parse-names":false,"suffix":""},{"dropping-particle":"","family":"Moretto","given":"Pietro","non-dropping-particle":"","parse-names":false,"suffix":""},{"dropping-particle":"","family":"Reinecke","given":"Ernst Arndt","non-dropping-particle":"","parse-names":false,"suffix":""},{"dropping-particle":"","family":"Sathiah","given":"Pratap","non-dropping-particle":"","parse-names":false,"suffix":""},{"dropping-particle":"","family":"Studer","given":"Etienne","non-dropping-particle":"","parse-names":false,"suffix":""},{"dropping-particle":"","family":"Vyazmina","given":"Elena","non-dropping-particle":"","parse-names":false,"suffix":""},{"dropping-particle":"","family":"Melideo","given":"Daniele","non-dropping-particle":"","parse-names":false,"suffix":""}],"container-title":"International Journal of Hydrogen Energy","id":"ITEM-1","issue":"38","issued":{"date-parts":[["2022","5","1"]]},"page":"17082-17096","publisher":"Elsevier Ltd","title":"Statistics, lessons learned and recommendations from analysis of HIAD 2.0 database","type":"article-journal","volume":"47"},"uris":["http://www.mendeley.com/documents/?uuid=ccf179fe-d734-3e50-82c0-d67dfb7c0d7c"]},{"id":"ITEM-2","itemData":{"DOI":"10.1016/j.compchemeng.2023.108199","ISSN":"00981354","abstract":"Hydrogen has the potential to make countries energetically self-sufficient and independent in the long term. Nevertheless, its extreme combustion properties and its capability of permeating and embrittling most metallic materials produce significant safety concerns. The Hydrogen Incidents and Accidents Database 2.0 (HIAD 2.0) is a public repository that collects data on hydrogen-related undesired events mainly occurred in chemical and process industry. This study conducts an analysis of the HIAD 2.0 database, mining information systematically through a computer science approach known as Business Analytics. Moreover, several hydrogen-induced material failures are investigated to understand their root causes. As a result, a deficiency in planning effective inspection and maintenance activities is highlighted as the common cause of the most severe accidents. The lessons learned from HIAD 2.0 could help to promote a safety culture, to improve the abnormal and normal events management and to stimulate a widespread rollout of hydrogen technologies.","author":[{"dropping-particle":"","family":"Campari","given":"Alessandro","non-dropping-particle":"","parse-names":false,"suffix":""},{"dropping-particle":"","family":"Nakhal Akel","given":"Antonio Javier","non-dropping-particle":"","parse-names":false,"suffix":""},{"dropping-particle":"","family":"Ustolin","given":"Federico","non-dropping-particle":"","parse-names":false,"suffix":""},{"dropping-particle":"","family":"Alvaro","given":"Antonio","non-dropping-particle":"","parse-names":false,"suffix":""},{"dropping-particle":"","family":"Ledda","given":"Alessandro","non-dropping-particle":"","parse-names":false,"suffix":""},{"dropping-particle":"","family":"Agnello","given":"Patrizia","non-dropping-particle":"","parse-names":false,"suffix":""},{"dropping-particle":"","family":"Moretto","given":"Pietro","non-dropping-particle":"","parse-names":false,"suffix":""},{"dropping-particle":"","family":"Patriarca","given":"Riccardo","non-dropping-particle":"","parse-names":false,"suffix":""},{"dropping-particle":"","family":"Paltrinieri","given":"Nicola","non-dropping-particle":"","parse-names":false,"suffix":""}],"container-title":"Computers and Chemical Engineering","id":"ITEM-2","issued":{"date-parts":[["2023","5","1"]]},"publisher":"Elsevier Ltd","title":"Lessons learned from HIAD 2.0: Inspection and maintenance to avoid hydrogen-induced material failures","type":"article-journal","volume":"173"},"uris":["http://www.mendeley.com/documents/?uuid=ce8849fb-647c-301c-b046-18a85e95c14c"]}],"mendeley":{"formattedCitation":"(Campari et al., 2023; Wen et al., 2022)","plainTextFormattedCitation":"(Campari et al., 2023; Wen et al., 2022)","previouslyFormattedCitation":"(Campari et al., 2023; Wen et al., 2022)"},"properties":{"noteIndex":0},"schema":"https://github.com/citation-style-language/schema/raw/master/csl-citation.json"}</w:instrText>
      </w:r>
      <w:r w:rsidR="00C20E83">
        <w:rPr>
          <w:rFonts w:cs="Arial"/>
          <w:lang w:val="en-GB"/>
        </w:rPr>
        <w:fldChar w:fldCharType="separate"/>
      </w:r>
      <w:r w:rsidR="00107736" w:rsidRPr="00C94DC1">
        <w:rPr>
          <w:rFonts w:cs="Arial"/>
          <w:noProof/>
          <w:lang w:val="en-GB"/>
        </w:rPr>
        <w:t>(Campari et al., 2023; Wen et al., 2022)</w:t>
      </w:r>
      <w:r w:rsidR="00C20E83">
        <w:rPr>
          <w:rFonts w:cs="Arial"/>
          <w:lang w:val="en-GB"/>
        </w:rPr>
        <w:fldChar w:fldCharType="end"/>
      </w:r>
      <w:r w:rsidRPr="00471026">
        <w:rPr>
          <w:rFonts w:cs="Arial"/>
          <w:lang w:val="en-GB"/>
        </w:rPr>
        <w:t>. Each database was specifically scre</w:t>
      </w:r>
      <w:r w:rsidR="0082733E" w:rsidRPr="00471026">
        <w:rPr>
          <w:rFonts w:cs="Arial"/>
          <w:lang w:val="en-GB"/>
        </w:rPr>
        <w:t xml:space="preserve">ened to identify events </w:t>
      </w:r>
      <w:r w:rsidR="00CE1E1D" w:rsidRPr="00CE1E1D">
        <w:rPr>
          <w:rFonts w:cs="Arial"/>
          <w:highlight w:val="yellow"/>
          <w:lang w:val="en-GB"/>
        </w:rPr>
        <w:t>that</w:t>
      </w:r>
      <w:r w:rsidR="00CE1E1D">
        <w:rPr>
          <w:rFonts w:cs="Arial"/>
          <w:lang w:val="en-GB"/>
        </w:rPr>
        <w:t xml:space="preserve"> </w:t>
      </w:r>
      <w:r w:rsidR="0082733E" w:rsidRPr="00471026">
        <w:rPr>
          <w:rFonts w:cs="Arial"/>
          <w:lang w:val="en-GB"/>
        </w:rPr>
        <w:t>occurred</w:t>
      </w:r>
      <w:r w:rsidRPr="00471026">
        <w:rPr>
          <w:rFonts w:cs="Arial"/>
          <w:lang w:val="en-GB"/>
        </w:rPr>
        <w:t xml:space="preserve"> in HRSs. A total of </w:t>
      </w:r>
      <w:r w:rsidR="000361C1" w:rsidRPr="000361C1">
        <w:rPr>
          <w:rFonts w:cs="Arial"/>
          <w:lang w:val="en-GB"/>
        </w:rPr>
        <w:t>211</w:t>
      </w:r>
      <w:r w:rsidRPr="00471026">
        <w:rPr>
          <w:rFonts w:cs="Arial"/>
          <w:lang w:val="en-GB"/>
        </w:rPr>
        <w:t xml:space="preserve"> </w:t>
      </w:r>
      <w:r w:rsidR="000361C1">
        <w:rPr>
          <w:rFonts w:cs="Arial"/>
          <w:lang w:val="en-GB"/>
        </w:rPr>
        <w:t xml:space="preserve">different </w:t>
      </w:r>
      <w:r w:rsidRPr="00471026">
        <w:rPr>
          <w:rFonts w:cs="Arial"/>
          <w:lang w:val="en-GB"/>
        </w:rPr>
        <w:t>events were identified. Table 2 shows the information on the databases selected for the study and the number of HRSs events in each</w:t>
      </w:r>
      <w:r w:rsidR="00E440E9" w:rsidRPr="00471026">
        <w:rPr>
          <w:rFonts w:cs="Arial"/>
          <w:lang w:val="en-GB"/>
        </w:rPr>
        <w:t xml:space="preserve"> of them</w:t>
      </w:r>
      <w:r w:rsidRPr="00471026">
        <w:rPr>
          <w:rFonts w:cs="Arial"/>
          <w:lang w:val="en-GB"/>
        </w:rPr>
        <w:t>.</w:t>
      </w:r>
    </w:p>
    <w:p w14:paraId="0431AD45" w14:textId="0A280F7F" w:rsidR="0082733E" w:rsidRPr="002617F3" w:rsidRDefault="0082733E" w:rsidP="002617F3">
      <w:pPr>
        <w:pStyle w:val="CETBodytext"/>
        <w:rPr>
          <w:rFonts w:cs="Arial"/>
          <w:lang w:val="en-GB"/>
        </w:rPr>
      </w:pPr>
      <w:r w:rsidRPr="002617F3">
        <w:rPr>
          <w:rFonts w:cs="Arial"/>
          <w:lang w:val="en-GB"/>
        </w:rPr>
        <w:t>The pilot analysis was conducted in five events (1 event from HIAD 2.0 and ARIA database; 2 events from H2</w:t>
      </w:r>
      <w:r w:rsidR="002749CC">
        <w:rPr>
          <w:rFonts w:cs="Arial"/>
          <w:lang w:val="en-GB"/>
        </w:rPr>
        <w:t xml:space="preserve"> </w:t>
      </w:r>
      <w:r w:rsidRPr="002617F3">
        <w:rPr>
          <w:rFonts w:cs="Arial"/>
          <w:lang w:val="en-GB"/>
        </w:rPr>
        <w:t xml:space="preserve">LL database; and 2 events from KHK database). According to the ICFA protocol, </w:t>
      </w:r>
      <w:r w:rsidR="00CE1E1D" w:rsidRPr="00CE1E1D">
        <w:rPr>
          <w:rFonts w:cs="Arial"/>
          <w:highlight w:val="yellow"/>
          <w:lang w:val="en-GB"/>
        </w:rPr>
        <w:t>a form was used to record the core event, contributing factors, other system failures, and corrective actions/lessons learned</w:t>
      </w:r>
      <w:r w:rsidRPr="002617F3">
        <w:rPr>
          <w:rFonts w:cs="Arial"/>
          <w:lang w:val="en-GB"/>
        </w:rPr>
        <w:t xml:space="preserve"> (Table 3).</w:t>
      </w:r>
    </w:p>
    <w:p w14:paraId="4679D1E5" w14:textId="7DAD4F25" w:rsidR="004B407A" w:rsidRPr="00471026" w:rsidRDefault="004B407A" w:rsidP="002C7707">
      <w:pPr>
        <w:pStyle w:val="CETBodytext"/>
        <w:spacing w:before="60" w:after="60"/>
        <w:rPr>
          <w:rFonts w:cs="Arial"/>
          <w:lang w:val="en-GB"/>
        </w:rPr>
      </w:pPr>
      <w:r w:rsidRPr="00471026">
        <w:rPr>
          <w:rStyle w:val="CETCaptionCarattere"/>
          <w:rFonts w:cs="Arial"/>
        </w:rPr>
        <w:t>Table 2: Database description and HRSs events included.</w:t>
      </w:r>
    </w:p>
    <w:tbl>
      <w:tblPr>
        <w:tblW w:w="0" w:type="auto"/>
        <w:tblBorders>
          <w:top w:val="single" w:sz="12" w:space="0" w:color="008000"/>
          <w:bottom w:val="single" w:sz="12" w:space="0" w:color="008000"/>
        </w:tblBorders>
        <w:shd w:val="clear" w:color="auto" w:fill="FFFFFF"/>
        <w:tblCellMar>
          <w:left w:w="0" w:type="dxa"/>
          <w:right w:w="0" w:type="dxa"/>
        </w:tblCellMar>
        <w:tblLook w:val="00A0" w:firstRow="1" w:lastRow="0" w:firstColumn="1" w:lastColumn="0" w:noHBand="0" w:noVBand="0"/>
      </w:tblPr>
      <w:tblGrid>
        <w:gridCol w:w="1843"/>
        <w:gridCol w:w="4468"/>
        <w:gridCol w:w="1202"/>
        <w:gridCol w:w="1274"/>
      </w:tblGrid>
      <w:tr w:rsidR="004B407A" w:rsidRPr="007E0611" w14:paraId="74B5CD90" w14:textId="77777777" w:rsidTr="007E0611">
        <w:tc>
          <w:tcPr>
            <w:tcW w:w="1843" w:type="dxa"/>
            <w:tcBorders>
              <w:top w:val="single" w:sz="12" w:space="0" w:color="008000"/>
              <w:bottom w:val="single" w:sz="2" w:space="0" w:color="008000"/>
            </w:tcBorders>
            <w:shd w:val="clear" w:color="auto" w:fill="FFFFFF"/>
          </w:tcPr>
          <w:p w14:paraId="04D5CC72" w14:textId="77777777" w:rsidR="004B407A" w:rsidRPr="00471026" w:rsidRDefault="004B407A" w:rsidP="007E0611">
            <w:pPr>
              <w:rPr>
                <w:rFonts w:cs="Arial"/>
                <w:b/>
              </w:rPr>
            </w:pPr>
            <w:r w:rsidRPr="00471026">
              <w:rPr>
                <w:rFonts w:cs="Arial"/>
                <w:b/>
              </w:rPr>
              <w:t>Database</w:t>
            </w:r>
          </w:p>
        </w:tc>
        <w:tc>
          <w:tcPr>
            <w:tcW w:w="4468" w:type="dxa"/>
            <w:tcBorders>
              <w:top w:val="single" w:sz="12" w:space="0" w:color="008000"/>
              <w:bottom w:val="single" w:sz="2" w:space="0" w:color="008000"/>
            </w:tcBorders>
            <w:shd w:val="clear" w:color="auto" w:fill="FFFFFF"/>
          </w:tcPr>
          <w:p w14:paraId="1910E27F" w14:textId="3AA14071" w:rsidR="004B407A" w:rsidRPr="00471026" w:rsidRDefault="004B407A" w:rsidP="007E0611">
            <w:pPr>
              <w:rPr>
                <w:rFonts w:cs="Arial"/>
                <w:b/>
              </w:rPr>
            </w:pPr>
            <w:r w:rsidRPr="00471026">
              <w:rPr>
                <w:rFonts w:cs="Arial"/>
                <w:b/>
              </w:rPr>
              <w:t>Description</w:t>
            </w:r>
          </w:p>
        </w:tc>
        <w:tc>
          <w:tcPr>
            <w:tcW w:w="1202" w:type="dxa"/>
            <w:tcBorders>
              <w:top w:val="single" w:sz="12" w:space="0" w:color="008000"/>
              <w:bottom w:val="single" w:sz="2" w:space="0" w:color="008000"/>
            </w:tcBorders>
            <w:shd w:val="clear" w:color="auto" w:fill="FFFFFF"/>
          </w:tcPr>
          <w:p w14:paraId="37CDD4A4" w14:textId="22FA81EF" w:rsidR="004B407A" w:rsidRPr="00471026" w:rsidRDefault="004B407A" w:rsidP="007E0611">
            <w:pPr>
              <w:rPr>
                <w:rFonts w:cs="Arial"/>
                <w:b/>
              </w:rPr>
            </w:pPr>
            <w:r w:rsidRPr="00471026">
              <w:rPr>
                <w:rFonts w:cs="Arial"/>
                <w:b/>
              </w:rPr>
              <w:t>Access</w:t>
            </w:r>
          </w:p>
        </w:tc>
        <w:tc>
          <w:tcPr>
            <w:tcW w:w="1274" w:type="dxa"/>
            <w:tcBorders>
              <w:top w:val="single" w:sz="12" w:space="0" w:color="008000"/>
              <w:bottom w:val="single" w:sz="2" w:space="0" w:color="008000"/>
            </w:tcBorders>
            <w:shd w:val="clear" w:color="auto" w:fill="FFFFFF"/>
          </w:tcPr>
          <w:p w14:paraId="6E635B63" w14:textId="5473CB99" w:rsidR="004B407A" w:rsidRPr="007E0611" w:rsidRDefault="003F4FA0" w:rsidP="007E0611">
            <w:pPr>
              <w:rPr>
                <w:rFonts w:cs="Arial"/>
                <w:b/>
              </w:rPr>
            </w:pPr>
            <w:r w:rsidRPr="007E0611">
              <w:rPr>
                <w:rFonts w:cs="Arial"/>
                <w:b/>
              </w:rPr>
              <w:t>HRSs e</w:t>
            </w:r>
            <w:r w:rsidR="004B407A" w:rsidRPr="007E0611">
              <w:rPr>
                <w:rFonts w:cs="Arial"/>
                <w:b/>
              </w:rPr>
              <w:t>vents</w:t>
            </w:r>
          </w:p>
        </w:tc>
      </w:tr>
      <w:tr w:rsidR="004B407A" w:rsidRPr="00471026" w14:paraId="79D1926E" w14:textId="77777777" w:rsidTr="007E0611">
        <w:tc>
          <w:tcPr>
            <w:tcW w:w="1843" w:type="dxa"/>
            <w:tcBorders>
              <w:top w:val="single" w:sz="2" w:space="0" w:color="008000"/>
              <w:bottom w:val="nil"/>
            </w:tcBorders>
            <w:shd w:val="clear" w:color="auto" w:fill="FFFFFF"/>
          </w:tcPr>
          <w:p w14:paraId="02257384" w14:textId="77777777" w:rsidR="002617F3" w:rsidRDefault="004B407A" w:rsidP="003D3905">
            <w:pPr>
              <w:pStyle w:val="CETBodytext"/>
              <w:spacing w:line="240" w:lineRule="auto"/>
              <w:jc w:val="left"/>
              <w:rPr>
                <w:rFonts w:cs="Arial"/>
                <w:lang w:val="en-GB"/>
              </w:rPr>
            </w:pPr>
            <w:r w:rsidRPr="00471026">
              <w:rPr>
                <w:rFonts w:cs="Arial"/>
                <w:lang w:val="en-GB"/>
              </w:rPr>
              <w:t xml:space="preserve">Hydrogen Incident and Accident </w:t>
            </w:r>
            <w:r w:rsidR="002617F3">
              <w:rPr>
                <w:rFonts w:cs="Arial"/>
                <w:lang w:val="en-GB"/>
              </w:rPr>
              <w:t>Database</w:t>
            </w:r>
          </w:p>
          <w:p w14:paraId="7D9BFD07" w14:textId="01CBCA88" w:rsidR="004B407A" w:rsidRPr="00471026" w:rsidRDefault="004B407A" w:rsidP="003D3905">
            <w:pPr>
              <w:pStyle w:val="CETBodytext"/>
              <w:spacing w:line="240" w:lineRule="auto"/>
              <w:jc w:val="left"/>
              <w:rPr>
                <w:rFonts w:cs="Arial"/>
                <w:lang w:val="en-GB"/>
              </w:rPr>
            </w:pPr>
            <w:r w:rsidRPr="00471026">
              <w:rPr>
                <w:rFonts w:cs="Arial"/>
                <w:lang w:val="en-GB"/>
              </w:rPr>
              <w:t>(HIAD 2.0)</w:t>
            </w:r>
          </w:p>
        </w:tc>
        <w:tc>
          <w:tcPr>
            <w:tcW w:w="4468" w:type="dxa"/>
            <w:tcBorders>
              <w:top w:val="single" w:sz="2" w:space="0" w:color="008000"/>
              <w:bottom w:val="nil"/>
            </w:tcBorders>
            <w:shd w:val="clear" w:color="auto" w:fill="FFFFFF"/>
          </w:tcPr>
          <w:p w14:paraId="10517D84" w14:textId="1DB1518E" w:rsidR="004B407A" w:rsidRPr="00471026" w:rsidRDefault="004B407A" w:rsidP="003D3905">
            <w:pPr>
              <w:pStyle w:val="CETBodytext"/>
              <w:spacing w:line="240" w:lineRule="auto"/>
              <w:ind w:left="165"/>
              <w:jc w:val="left"/>
              <w:rPr>
                <w:rFonts w:cs="Arial"/>
                <w:szCs w:val="18"/>
                <w:lang w:val="en-GB"/>
              </w:rPr>
            </w:pPr>
            <w:r w:rsidRPr="00471026">
              <w:rPr>
                <w:rFonts w:cs="Arial"/>
                <w:szCs w:val="18"/>
                <w:lang w:val="en-GB"/>
              </w:rPr>
              <w:t xml:space="preserve">European database developed by the Joint Research Centre (JRC) </w:t>
            </w:r>
            <w:r w:rsidR="003F4FA0">
              <w:rPr>
                <w:rFonts w:cs="Arial"/>
                <w:szCs w:val="18"/>
                <w:lang w:val="en-GB"/>
              </w:rPr>
              <w:t xml:space="preserve">of the European Commission (EC) which </w:t>
            </w:r>
            <w:r w:rsidRPr="00471026">
              <w:rPr>
                <w:rFonts w:cs="Arial"/>
                <w:szCs w:val="18"/>
                <w:lang w:val="en-GB"/>
              </w:rPr>
              <w:t>records wo</w:t>
            </w:r>
            <w:r w:rsidR="00222319">
              <w:rPr>
                <w:rFonts w:cs="Arial"/>
                <w:szCs w:val="18"/>
                <w:lang w:val="en-GB"/>
              </w:rPr>
              <w:t>rldwide hydrogen-related events</w:t>
            </w:r>
            <w:r w:rsidRPr="00471026">
              <w:rPr>
                <w:rFonts w:cs="Arial"/>
                <w:szCs w:val="18"/>
                <w:lang w:val="en-GB"/>
              </w:rPr>
              <w:t>.</w:t>
            </w:r>
          </w:p>
          <w:p w14:paraId="2148FC55" w14:textId="77777777" w:rsidR="004B407A" w:rsidRPr="00471026" w:rsidRDefault="004B407A" w:rsidP="003D3905">
            <w:pPr>
              <w:pStyle w:val="CETBodytext"/>
              <w:spacing w:after="40" w:line="240" w:lineRule="auto"/>
              <w:ind w:left="164"/>
              <w:jc w:val="left"/>
              <w:rPr>
                <w:rFonts w:cs="Arial"/>
                <w:szCs w:val="18"/>
                <w:lang w:val="en-GB"/>
              </w:rPr>
            </w:pPr>
            <w:r w:rsidRPr="00471026">
              <w:rPr>
                <w:rFonts w:cs="Arial"/>
                <w:szCs w:val="18"/>
                <w:lang w:val="en-GB"/>
              </w:rPr>
              <w:t>https://odin.jrc.ec.europa.eu/</w:t>
            </w:r>
          </w:p>
        </w:tc>
        <w:tc>
          <w:tcPr>
            <w:tcW w:w="1202" w:type="dxa"/>
            <w:tcBorders>
              <w:top w:val="single" w:sz="2" w:space="0" w:color="008000"/>
              <w:bottom w:val="nil"/>
            </w:tcBorders>
            <w:shd w:val="clear" w:color="auto" w:fill="FFFFFF"/>
          </w:tcPr>
          <w:p w14:paraId="08051862" w14:textId="77777777" w:rsidR="004B407A" w:rsidRPr="00471026" w:rsidRDefault="004B407A" w:rsidP="003D3905">
            <w:pPr>
              <w:pStyle w:val="CETBodytext"/>
              <w:spacing w:line="240" w:lineRule="auto"/>
              <w:ind w:left="164"/>
              <w:jc w:val="left"/>
              <w:rPr>
                <w:rFonts w:cs="Arial"/>
                <w:lang w:val="en-GB"/>
              </w:rPr>
            </w:pPr>
            <w:r w:rsidRPr="00471026">
              <w:rPr>
                <w:rFonts w:cs="Arial"/>
                <w:lang w:val="en-GB"/>
              </w:rPr>
              <w:t>On request</w:t>
            </w:r>
          </w:p>
        </w:tc>
        <w:tc>
          <w:tcPr>
            <w:tcW w:w="1274" w:type="dxa"/>
            <w:tcBorders>
              <w:top w:val="single" w:sz="2" w:space="0" w:color="008000"/>
              <w:bottom w:val="nil"/>
            </w:tcBorders>
            <w:shd w:val="clear" w:color="auto" w:fill="FFFFFF"/>
          </w:tcPr>
          <w:p w14:paraId="4685105D" w14:textId="424CF03E" w:rsidR="004B407A" w:rsidRPr="00471026" w:rsidRDefault="003F4FA0" w:rsidP="003F4FA0">
            <w:pPr>
              <w:pStyle w:val="CETBodytext"/>
              <w:spacing w:line="240" w:lineRule="auto"/>
              <w:ind w:left="164"/>
              <w:jc w:val="right"/>
              <w:rPr>
                <w:rFonts w:cs="Arial"/>
                <w:szCs w:val="18"/>
                <w:lang w:val="en-GB"/>
              </w:rPr>
            </w:pPr>
            <w:r>
              <w:rPr>
                <w:rFonts w:cs="Arial"/>
                <w:lang w:val="en-GB"/>
              </w:rPr>
              <w:t>16</w:t>
            </w:r>
          </w:p>
        </w:tc>
      </w:tr>
      <w:tr w:rsidR="004B407A" w:rsidRPr="00471026" w14:paraId="48D4F8AC" w14:textId="77777777" w:rsidTr="00222319">
        <w:tc>
          <w:tcPr>
            <w:tcW w:w="1843" w:type="dxa"/>
            <w:tcBorders>
              <w:top w:val="nil"/>
              <w:bottom w:val="nil"/>
            </w:tcBorders>
            <w:shd w:val="clear" w:color="auto" w:fill="FFFFFF"/>
          </w:tcPr>
          <w:p w14:paraId="77EB6D36" w14:textId="77777777" w:rsidR="004B407A" w:rsidRPr="00471026" w:rsidRDefault="004B407A" w:rsidP="003D3905">
            <w:pPr>
              <w:pStyle w:val="CETBodytext"/>
              <w:spacing w:line="240" w:lineRule="auto"/>
              <w:jc w:val="left"/>
              <w:rPr>
                <w:rFonts w:cs="Arial"/>
                <w:lang w:val="en-GB"/>
              </w:rPr>
            </w:pPr>
            <w:r w:rsidRPr="00471026">
              <w:rPr>
                <w:rFonts w:cs="Arial"/>
                <w:lang w:val="en-GB"/>
              </w:rPr>
              <w:t>Hydrogen Tools Lessons Learned database</w:t>
            </w:r>
          </w:p>
          <w:p w14:paraId="1DC99626" w14:textId="77777777" w:rsidR="004B407A" w:rsidRPr="00471026" w:rsidRDefault="004B407A" w:rsidP="003D3905">
            <w:pPr>
              <w:pStyle w:val="CETBodytext"/>
              <w:spacing w:line="240" w:lineRule="auto"/>
              <w:jc w:val="left"/>
              <w:rPr>
                <w:rFonts w:cs="Arial"/>
                <w:lang w:val="en-GB"/>
              </w:rPr>
            </w:pPr>
            <w:r w:rsidRPr="00471026">
              <w:rPr>
                <w:rFonts w:cs="Arial"/>
                <w:lang w:val="en-GB"/>
              </w:rPr>
              <w:t>(H2 LL)</w:t>
            </w:r>
          </w:p>
        </w:tc>
        <w:tc>
          <w:tcPr>
            <w:tcW w:w="4468" w:type="dxa"/>
            <w:tcBorders>
              <w:top w:val="nil"/>
              <w:bottom w:val="nil"/>
            </w:tcBorders>
            <w:shd w:val="clear" w:color="auto" w:fill="FFFFFF"/>
          </w:tcPr>
          <w:p w14:paraId="4D810A8D" w14:textId="68472E04" w:rsidR="004B407A" w:rsidRPr="00471026" w:rsidRDefault="004B407A" w:rsidP="003D3905">
            <w:pPr>
              <w:pStyle w:val="CETBodytext"/>
              <w:spacing w:line="240" w:lineRule="auto"/>
              <w:ind w:left="165"/>
              <w:rPr>
                <w:rFonts w:cs="Arial"/>
                <w:szCs w:val="18"/>
                <w:lang w:val="en-GB"/>
              </w:rPr>
            </w:pPr>
            <w:r w:rsidRPr="00471026">
              <w:rPr>
                <w:rFonts w:cs="Arial"/>
                <w:szCs w:val="18"/>
                <w:lang w:val="en-GB"/>
              </w:rPr>
              <w:t>American database developed by the Pacific Northwest National Laboratory, supported b</w:t>
            </w:r>
            <w:r w:rsidR="003F4FA0">
              <w:rPr>
                <w:rFonts w:cs="Arial"/>
                <w:szCs w:val="18"/>
                <w:lang w:val="en-GB"/>
              </w:rPr>
              <w:t xml:space="preserve">y the U.S. Department of Energy which </w:t>
            </w:r>
            <w:r w:rsidRPr="00471026">
              <w:rPr>
                <w:rFonts w:cs="Arial"/>
                <w:szCs w:val="18"/>
                <w:lang w:val="en-GB"/>
              </w:rPr>
              <w:t>includes hydrogen safety event records and shares lessons learned and other relevant information.</w:t>
            </w:r>
          </w:p>
          <w:p w14:paraId="6A7EA168" w14:textId="77777777" w:rsidR="004B407A" w:rsidRPr="00471026" w:rsidRDefault="004B407A" w:rsidP="003D3905">
            <w:pPr>
              <w:pStyle w:val="CETBodytext"/>
              <w:spacing w:after="40" w:line="240" w:lineRule="auto"/>
              <w:ind w:left="164"/>
              <w:jc w:val="left"/>
              <w:rPr>
                <w:rFonts w:cs="Arial"/>
                <w:szCs w:val="18"/>
                <w:lang w:val="en-GB"/>
              </w:rPr>
            </w:pPr>
            <w:r w:rsidRPr="00471026">
              <w:rPr>
                <w:rFonts w:cs="Arial"/>
                <w:szCs w:val="18"/>
                <w:lang w:val="en-GB"/>
              </w:rPr>
              <w:t>https://h2tools.org/</w:t>
            </w:r>
          </w:p>
        </w:tc>
        <w:tc>
          <w:tcPr>
            <w:tcW w:w="1202" w:type="dxa"/>
            <w:tcBorders>
              <w:top w:val="nil"/>
              <w:bottom w:val="nil"/>
            </w:tcBorders>
            <w:shd w:val="clear" w:color="auto" w:fill="FFFFFF"/>
          </w:tcPr>
          <w:p w14:paraId="1702F8FC" w14:textId="77777777" w:rsidR="004B407A" w:rsidRPr="00471026" w:rsidRDefault="004B407A" w:rsidP="003D3905">
            <w:pPr>
              <w:pStyle w:val="CETBodytext"/>
              <w:spacing w:line="240" w:lineRule="auto"/>
              <w:ind w:left="164"/>
              <w:jc w:val="left"/>
              <w:rPr>
                <w:rFonts w:cs="Arial"/>
                <w:lang w:val="en-GB"/>
              </w:rPr>
            </w:pPr>
            <w:r w:rsidRPr="00471026">
              <w:rPr>
                <w:rFonts w:cs="Arial"/>
                <w:lang w:val="en-GB"/>
              </w:rPr>
              <w:t>Open</w:t>
            </w:r>
          </w:p>
        </w:tc>
        <w:tc>
          <w:tcPr>
            <w:tcW w:w="1274" w:type="dxa"/>
            <w:tcBorders>
              <w:top w:val="nil"/>
              <w:bottom w:val="nil"/>
            </w:tcBorders>
            <w:shd w:val="clear" w:color="auto" w:fill="FFFFFF"/>
          </w:tcPr>
          <w:p w14:paraId="6816AC18" w14:textId="2A14CB53" w:rsidR="004B407A" w:rsidRPr="00471026" w:rsidRDefault="003F4FA0" w:rsidP="003F4FA0">
            <w:pPr>
              <w:pStyle w:val="CETBodytext"/>
              <w:spacing w:line="240" w:lineRule="auto"/>
              <w:ind w:left="164"/>
              <w:jc w:val="right"/>
              <w:rPr>
                <w:rFonts w:cs="Arial"/>
                <w:szCs w:val="18"/>
                <w:lang w:val="en-GB"/>
              </w:rPr>
            </w:pPr>
            <w:r>
              <w:rPr>
                <w:rFonts w:cs="Arial"/>
                <w:lang w:val="en-GB"/>
              </w:rPr>
              <w:t>13</w:t>
            </w:r>
          </w:p>
        </w:tc>
      </w:tr>
      <w:tr w:rsidR="004B407A" w:rsidRPr="00471026" w14:paraId="7EF1A310" w14:textId="77777777" w:rsidTr="00222319">
        <w:tc>
          <w:tcPr>
            <w:tcW w:w="1843" w:type="dxa"/>
            <w:tcBorders>
              <w:top w:val="nil"/>
              <w:bottom w:val="nil"/>
            </w:tcBorders>
            <w:shd w:val="clear" w:color="auto" w:fill="auto"/>
          </w:tcPr>
          <w:p w14:paraId="2D54C42A" w14:textId="77777777" w:rsidR="004B407A" w:rsidRPr="00471026" w:rsidRDefault="004B407A" w:rsidP="003D3905">
            <w:pPr>
              <w:pStyle w:val="CETBodytext"/>
              <w:spacing w:line="240" w:lineRule="auto"/>
              <w:jc w:val="left"/>
              <w:rPr>
                <w:rFonts w:cs="Arial"/>
                <w:lang w:val="en-GB"/>
              </w:rPr>
            </w:pPr>
            <w:r w:rsidRPr="00471026">
              <w:rPr>
                <w:rFonts w:cs="Arial"/>
                <w:lang w:val="en-GB"/>
              </w:rPr>
              <w:t>The High Pressure Gas Safety Institute of Japan database</w:t>
            </w:r>
          </w:p>
          <w:p w14:paraId="27F64564" w14:textId="77777777" w:rsidR="004B407A" w:rsidRPr="00471026" w:rsidRDefault="004B407A" w:rsidP="003D3905">
            <w:pPr>
              <w:pStyle w:val="CETBodytext"/>
              <w:spacing w:line="240" w:lineRule="auto"/>
              <w:jc w:val="left"/>
              <w:rPr>
                <w:rFonts w:cs="Arial"/>
                <w:lang w:val="en-GB"/>
              </w:rPr>
            </w:pPr>
            <w:r w:rsidRPr="00471026">
              <w:rPr>
                <w:rFonts w:cs="Arial"/>
                <w:lang w:val="en-GB"/>
              </w:rPr>
              <w:t>(KHK)</w:t>
            </w:r>
          </w:p>
        </w:tc>
        <w:tc>
          <w:tcPr>
            <w:tcW w:w="4468" w:type="dxa"/>
            <w:tcBorders>
              <w:top w:val="nil"/>
              <w:bottom w:val="nil"/>
            </w:tcBorders>
            <w:shd w:val="clear" w:color="auto" w:fill="auto"/>
          </w:tcPr>
          <w:p w14:paraId="42582D42" w14:textId="27F53CCE" w:rsidR="004B407A" w:rsidRPr="00471026" w:rsidRDefault="004B407A" w:rsidP="003D3905">
            <w:pPr>
              <w:pStyle w:val="CETBodytext"/>
              <w:spacing w:line="240" w:lineRule="auto"/>
              <w:ind w:left="165"/>
              <w:rPr>
                <w:rFonts w:cs="Arial"/>
                <w:szCs w:val="18"/>
                <w:lang w:val="en-GB"/>
              </w:rPr>
            </w:pPr>
            <w:r w:rsidRPr="00471026">
              <w:rPr>
                <w:rFonts w:cs="Arial"/>
                <w:szCs w:val="18"/>
                <w:lang w:val="en-GB"/>
              </w:rPr>
              <w:t xml:space="preserve">Japanese database developed by the High Pressure Gas Safety Institute of Japan at the request of the Ministry of Economy, Trade, and Industry in </w:t>
            </w:r>
            <w:r w:rsidR="003F4FA0">
              <w:rPr>
                <w:rFonts w:cs="Arial"/>
                <w:szCs w:val="18"/>
                <w:lang w:val="en-GB"/>
              </w:rPr>
              <w:t>Japan which</w:t>
            </w:r>
            <w:r w:rsidRPr="00471026">
              <w:rPr>
                <w:rFonts w:cs="Arial"/>
                <w:szCs w:val="18"/>
                <w:lang w:val="en-GB"/>
              </w:rPr>
              <w:t xml:space="preserve"> records incident information related to high-pressure gases and hazardous substances in Japan.</w:t>
            </w:r>
          </w:p>
          <w:p w14:paraId="4BCD1BC3" w14:textId="77777777" w:rsidR="004B407A" w:rsidRPr="00471026" w:rsidRDefault="004B407A" w:rsidP="003D3905">
            <w:pPr>
              <w:pStyle w:val="CETBodytext"/>
              <w:spacing w:line="240" w:lineRule="auto"/>
              <w:ind w:left="165"/>
              <w:rPr>
                <w:rFonts w:cs="Arial"/>
                <w:szCs w:val="18"/>
                <w:lang w:val="en-GB"/>
              </w:rPr>
            </w:pPr>
            <w:r w:rsidRPr="00471026">
              <w:rPr>
                <w:rFonts w:cs="Arial"/>
                <w:szCs w:val="18"/>
                <w:lang w:val="en-GB"/>
              </w:rPr>
              <w:t>http://www.khk.or.jp/</w:t>
            </w:r>
          </w:p>
        </w:tc>
        <w:tc>
          <w:tcPr>
            <w:tcW w:w="1202" w:type="dxa"/>
            <w:tcBorders>
              <w:top w:val="nil"/>
              <w:bottom w:val="nil"/>
            </w:tcBorders>
            <w:shd w:val="clear" w:color="auto" w:fill="auto"/>
          </w:tcPr>
          <w:p w14:paraId="16AED911" w14:textId="77777777" w:rsidR="004B407A" w:rsidRPr="00471026" w:rsidRDefault="004B407A" w:rsidP="003D3905">
            <w:pPr>
              <w:pStyle w:val="CETBodytext"/>
              <w:spacing w:line="240" w:lineRule="auto"/>
              <w:ind w:left="164"/>
              <w:jc w:val="left"/>
              <w:rPr>
                <w:rFonts w:cs="Arial"/>
                <w:lang w:val="en-GB"/>
              </w:rPr>
            </w:pPr>
            <w:r w:rsidRPr="00471026">
              <w:rPr>
                <w:rFonts w:cs="Arial"/>
                <w:lang w:val="en-GB"/>
              </w:rPr>
              <w:t>Open (Japanese version)</w:t>
            </w:r>
          </w:p>
        </w:tc>
        <w:tc>
          <w:tcPr>
            <w:tcW w:w="1274" w:type="dxa"/>
            <w:tcBorders>
              <w:top w:val="nil"/>
              <w:bottom w:val="nil"/>
            </w:tcBorders>
            <w:shd w:val="clear" w:color="auto" w:fill="auto"/>
          </w:tcPr>
          <w:p w14:paraId="4CCA10C1" w14:textId="055DD834" w:rsidR="004B407A" w:rsidRPr="00471026" w:rsidRDefault="000361C1" w:rsidP="003F4FA0">
            <w:pPr>
              <w:pStyle w:val="CETBodytext"/>
              <w:spacing w:line="240" w:lineRule="auto"/>
              <w:ind w:left="164"/>
              <w:jc w:val="right"/>
              <w:rPr>
                <w:rFonts w:cs="Arial"/>
                <w:szCs w:val="18"/>
                <w:lang w:val="en-GB"/>
              </w:rPr>
            </w:pPr>
            <w:r w:rsidRPr="000361C1">
              <w:rPr>
                <w:rFonts w:cs="Arial"/>
                <w:lang w:val="en-GB"/>
              </w:rPr>
              <w:t>186</w:t>
            </w:r>
          </w:p>
        </w:tc>
      </w:tr>
      <w:tr w:rsidR="004B407A" w:rsidRPr="00471026" w14:paraId="6AE9C9A6" w14:textId="77777777" w:rsidTr="00222319">
        <w:tc>
          <w:tcPr>
            <w:tcW w:w="1843" w:type="dxa"/>
            <w:tcBorders>
              <w:top w:val="nil"/>
            </w:tcBorders>
            <w:shd w:val="clear" w:color="auto" w:fill="FFFFFF"/>
          </w:tcPr>
          <w:p w14:paraId="17098CAF" w14:textId="77777777" w:rsidR="004B407A" w:rsidRPr="00471026" w:rsidRDefault="004B407A" w:rsidP="003D3905">
            <w:pPr>
              <w:pStyle w:val="CETBodytext"/>
              <w:spacing w:line="240" w:lineRule="auto"/>
              <w:jc w:val="left"/>
              <w:rPr>
                <w:rFonts w:cs="Arial"/>
                <w:lang w:val="en-GB"/>
              </w:rPr>
            </w:pPr>
            <w:r w:rsidRPr="00471026">
              <w:rPr>
                <w:rFonts w:cs="Arial"/>
                <w:lang w:val="en-GB"/>
              </w:rPr>
              <w:t>Analysis, Research and Information on Accidents database (ARIA)</w:t>
            </w:r>
          </w:p>
        </w:tc>
        <w:tc>
          <w:tcPr>
            <w:tcW w:w="4468" w:type="dxa"/>
            <w:tcBorders>
              <w:top w:val="nil"/>
            </w:tcBorders>
            <w:shd w:val="clear" w:color="auto" w:fill="FFFFFF"/>
          </w:tcPr>
          <w:p w14:paraId="57557CB8" w14:textId="7134DC57" w:rsidR="004B407A" w:rsidRPr="00471026" w:rsidRDefault="004B407A" w:rsidP="003D3905">
            <w:pPr>
              <w:pStyle w:val="CETBodytext"/>
              <w:spacing w:line="240" w:lineRule="auto"/>
              <w:ind w:left="165"/>
              <w:rPr>
                <w:rFonts w:cs="Arial"/>
                <w:szCs w:val="18"/>
                <w:lang w:val="en-GB"/>
              </w:rPr>
            </w:pPr>
            <w:r w:rsidRPr="00471026">
              <w:rPr>
                <w:rFonts w:cs="Arial"/>
                <w:szCs w:val="18"/>
                <w:lang w:val="en-GB"/>
              </w:rPr>
              <w:t xml:space="preserve">French database developed by the Bureau for Analysis of Industrial Risks and Pollution (BARPI) within the Ministry of Environment / General </w:t>
            </w:r>
            <w:r w:rsidR="003F4FA0">
              <w:rPr>
                <w:rFonts w:cs="Arial"/>
                <w:szCs w:val="18"/>
                <w:lang w:val="en-GB"/>
              </w:rPr>
              <w:t xml:space="preserve">Directorate for Risk Prevention which </w:t>
            </w:r>
            <w:r w:rsidRPr="00471026">
              <w:rPr>
                <w:rFonts w:cs="Arial"/>
                <w:szCs w:val="18"/>
                <w:lang w:val="en-GB"/>
              </w:rPr>
              <w:t>catalogues industrial and technological incidents or accidents that were, or could have been, deleterious to human health, public safety or the environment.</w:t>
            </w:r>
          </w:p>
          <w:p w14:paraId="059E8A5F" w14:textId="77777777" w:rsidR="004B407A" w:rsidRPr="00471026" w:rsidRDefault="004B407A" w:rsidP="003D3905">
            <w:pPr>
              <w:pStyle w:val="CETBodytext"/>
              <w:spacing w:line="240" w:lineRule="auto"/>
              <w:ind w:left="165"/>
              <w:rPr>
                <w:rFonts w:cs="Arial"/>
                <w:szCs w:val="18"/>
                <w:lang w:val="en-GB"/>
              </w:rPr>
            </w:pPr>
            <w:r w:rsidRPr="00471026">
              <w:rPr>
                <w:rFonts w:cs="Arial"/>
                <w:szCs w:val="18"/>
                <w:lang w:val="en-GB"/>
              </w:rPr>
              <w:t>https://www.aria.developpement-durable.gouv.fr/</w:t>
            </w:r>
          </w:p>
        </w:tc>
        <w:tc>
          <w:tcPr>
            <w:tcW w:w="1202" w:type="dxa"/>
            <w:tcBorders>
              <w:top w:val="nil"/>
            </w:tcBorders>
            <w:shd w:val="clear" w:color="auto" w:fill="FFFFFF"/>
          </w:tcPr>
          <w:p w14:paraId="2E2F04BA" w14:textId="77777777" w:rsidR="004B407A" w:rsidRPr="00471026" w:rsidRDefault="004B407A" w:rsidP="003D3905">
            <w:pPr>
              <w:pStyle w:val="CETBodytext"/>
              <w:spacing w:line="240" w:lineRule="auto"/>
              <w:ind w:left="164"/>
              <w:jc w:val="left"/>
              <w:rPr>
                <w:rFonts w:cs="Arial"/>
                <w:lang w:val="en-GB"/>
              </w:rPr>
            </w:pPr>
            <w:r w:rsidRPr="00471026">
              <w:rPr>
                <w:rFonts w:cs="Arial"/>
                <w:lang w:val="en-GB"/>
              </w:rPr>
              <w:t>Open</w:t>
            </w:r>
          </w:p>
          <w:p w14:paraId="5CD51F79" w14:textId="77777777" w:rsidR="004B407A" w:rsidRPr="00471026" w:rsidRDefault="004B407A" w:rsidP="003D6749">
            <w:pPr>
              <w:pStyle w:val="CETBodytext"/>
              <w:spacing w:line="240" w:lineRule="auto"/>
              <w:ind w:left="164"/>
              <w:jc w:val="left"/>
              <w:rPr>
                <w:rFonts w:cs="Arial"/>
                <w:lang w:val="en-GB"/>
              </w:rPr>
            </w:pPr>
            <w:r w:rsidRPr="00471026">
              <w:rPr>
                <w:rFonts w:cs="Arial"/>
                <w:lang w:val="en-GB"/>
              </w:rPr>
              <w:t>(Further information on request)</w:t>
            </w:r>
          </w:p>
        </w:tc>
        <w:tc>
          <w:tcPr>
            <w:tcW w:w="1274" w:type="dxa"/>
            <w:tcBorders>
              <w:top w:val="nil"/>
            </w:tcBorders>
            <w:shd w:val="clear" w:color="auto" w:fill="FFFFFF"/>
          </w:tcPr>
          <w:p w14:paraId="77253EDE" w14:textId="29AE6D37" w:rsidR="004B407A" w:rsidRPr="00471026" w:rsidRDefault="003F4FA0" w:rsidP="003F4FA0">
            <w:pPr>
              <w:pStyle w:val="CETBodytext"/>
              <w:spacing w:line="240" w:lineRule="auto"/>
              <w:ind w:left="164"/>
              <w:jc w:val="right"/>
              <w:rPr>
                <w:rFonts w:cs="Arial"/>
                <w:szCs w:val="18"/>
                <w:lang w:val="en-GB"/>
              </w:rPr>
            </w:pPr>
            <w:r>
              <w:rPr>
                <w:rFonts w:cs="Arial"/>
                <w:lang w:val="en-GB"/>
              </w:rPr>
              <w:t>4</w:t>
            </w:r>
          </w:p>
        </w:tc>
      </w:tr>
    </w:tbl>
    <w:p w14:paraId="664D5E3A" w14:textId="5F7F3DEF" w:rsidR="003F4FA0" w:rsidRPr="00471026" w:rsidRDefault="004B407A" w:rsidP="00236A05">
      <w:pPr>
        <w:pStyle w:val="CETCaption"/>
        <w:rPr>
          <w:rFonts w:cs="Arial"/>
        </w:rPr>
      </w:pPr>
      <w:r w:rsidRPr="00471026">
        <w:rPr>
          <w:rStyle w:val="CETCaptionCarattere"/>
          <w:rFonts w:cs="Arial"/>
          <w:i/>
        </w:rPr>
        <w:t>Table 3: Information to collect in each event form.</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3261"/>
        <w:gridCol w:w="5526"/>
      </w:tblGrid>
      <w:tr w:rsidR="00C33C14" w:rsidRPr="00471026" w14:paraId="7D0FD345" w14:textId="77777777" w:rsidTr="002617F3">
        <w:tc>
          <w:tcPr>
            <w:tcW w:w="3261" w:type="dxa"/>
            <w:tcBorders>
              <w:top w:val="single" w:sz="12" w:space="0" w:color="008000"/>
              <w:bottom w:val="single" w:sz="6" w:space="0" w:color="008000"/>
            </w:tcBorders>
            <w:shd w:val="clear" w:color="auto" w:fill="FFFFFF"/>
          </w:tcPr>
          <w:p w14:paraId="209B839C" w14:textId="77777777" w:rsidR="00C33C14" w:rsidRPr="00471026" w:rsidRDefault="00C33C14" w:rsidP="00C33C14">
            <w:pPr>
              <w:rPr>
                <w:rFonts w:cs="Arial"/>
                <w:b/>
              </w:rPr>
            </w:pPr>
            <w:r w:rsidRPr="00471026">
              <w:rPr>
                <w:rFonts w:cs="Arial"/>
                <w:b/>
              </w:rPr>
              <w:t>Elements to collect</w:t>
            </w:r>
          </w:p>
        </w:tc>
        <w:tc>
          <w:tcPr>
            <w:tcW w:w="5526" w:type="dxa"/>
            <w:tcBorders>
              <w:top w:val="single" w:sz="12" w:space="0" w:color="008000"/>
              <w:bottom w:val="single" w:sz="6" w:space="0" w:color="008000"/>
            </w:tcBorders>
            <w:shd w:val="clear" w:color="auto" w:fill="FFFFFF"/>
          </w:tcPr>
          <w:p w14:paraId="0914C680" w14:textId="77777777" w:rsidR="00C33C14" w:rsidRPr="00471026" w:rsidRDefault="00C33C14" w:rsidP="00C33C14">
            <w:pPr>
              <w:rPr>
                <w:rFonts w:cs="Arial"/>
                <w:b/>
              </w:rPr>
            </w:pPr>
            <w:r w:rsidRPr="00471026">
              <w:rPr>
                <w:rFonts w:cs="Arial"/>
                <w:b/>
              </w:rPr>
              <w:t>Description</w:t>
            </w:r>
          </w:p>
        </w:tc>
      </w:tr>
      <w:tr w:rsidR="00C33C14" w:rsidRPr="00471026" w14:paraId="56292425" w14:textId="77777777" w:rsidTr="002617F3">
        <w:tc>
          <w:tcPr>
            <w:tcW w:w="3261" w:type="dxa"/>
            <w:shd w:val="clear" w:color="auto" w:fill="FFFFFF"/>
          </w:tcPr>
          <w:p w14:paraId="6328F5CD" w14:textId="77777777" w:rsidR="00C33C14" w:rsidRPr="00471026" w:rsidRDefault="00C33C14" w:rsidP="00C0086D">
            <w:pPr>
              <w:spacing w:line="240" w:lineRule="auto"/>
              <w:jc w:val="left"/>
              <w:rPr>
                <w:rFonts w:cs="Arial"/>
              </w:rPr>
            </w:pPr>
            <w:r w:rsidRPr="00471026">
              <w:rPr>
                <w:rFonts w:cs="Arial"/>
              </w:rPr>
              <w:t>Core event</w:t>
            </w:r>
          </w:p>
        </w:tc>
        <w:tc>
          <w:tcPr>
            <w:tcW w:w="5526" w:type="dxa"/>
            <w:shd w:val="clear" w:color="auto" w:fill="FFFFFF"/>
          </w:tcPr>
          <w:p w14:paraId="356A9D81" w14:textId="13AD6473" w:rsidR="00C33C14" w:rsidRPr="00471026" w:rsidRDefault="00447CCE" w:rsidP="003D3905">
            <w:pPr>
              <w:spacing w:after="40" w:line="240" w:lineRule="auto"/>
              <w:rPr>
                <w:rFonts w:cs="Arial"/>
              </w:rPr>
            </w:pPr>
            <w:r w:rsidRPr="00471026">
              <w:rPr>
                <w:rFonts w:cs="Arial"/>
              </w:rPr>
              <w:t xml:space="preserve">The </w:t>
            </w:r>
            <w:r w:rsidR="00C33C14" w:rsidRPr="00471026">
              <w:rPr>
                <w:rFonts w:cs="Arial"/>
              </w:rPr>
              <w:t>essence of the event as described in the record (what has happened without considering why)</w:t>
            </w:r>
          </w:p>
        </w:tc>
      </w:tr>
      <w:tr w:rsidR="00C33C14" w:rsidRPr="00471026" w14:paraId="350E2D32" w14:textId="77777777" w:rsidTr="002617F3">
        <w:tc>
          <w:tcPr>
            <w:tcW w:w="3261" w:type="dxa"/>
            <w:shd w:val="clear" w:color="auto" w:fill="FFFFFF"/>
          </w:tcPr>
          <w:p w14:paraId="035C87D2" w14:textId="2E27E960" w:rsidR="00C33C14" w:rsidRPr="00471026" w:rsidRDefault="00211B6F" w:rsidP="00C0086D">
            <w:pPr>
              <w:spacing w:line="240" w:lineRule="auto"/>
              <w:jc w:val="left"/>
              <w:rPr>
                <w:rFonts w:cs="Arial"/>
                <w:szCs w:val="18"/>
              </w:rPr>
            </w:pPr>
            <w:r w:rsidRPr="00471026">
              <w:rPr>
                <w:rFonts w:cs="Arial"/>
              </w:rPr>
              <w:t>Contributing factors</w:t>
            </w:r>
          </w:p>
        </w:tc>
        <w:tc>
          <w:tcPr>
            <w:tcW w:w="5526" w:type="dxa"/>
            <w:shd w:val="clear" w:color="auto" w:fill="FFFFFF"/>
          </w:tcPr>
          <w:p w14:paraId="0FD337BE" w14:textId="3FCEB2D3" w:rsidR="00C33C14" w:rsidRPr="00471026" w:rsidRDefault="00C0086D" w:rsidP="00A21FE2">
            <w:pPr>
              <w:spacing w:after="40" w:line="240" w:lineRule="auto"/>
              <w:rPr>
                <w:rFonts w:cs="Arial"/>
                <w:szCs w:val="18"/>
              </w:rPr>
            </w:pPr>
            <w:r w:rsidRPr="00471026">
              <w:rPr>
                <w:rFonts w:cs="Arial"/>
                <w:szCs w:val="18"/>
              </w:rPr>
              <w:t xml:space="preserve">Those aspects </w:t>
            </w:r>
            <w:r w:rsidR="00A21FE2" w:rsidRPr="00471026">
              <w:rPr>
                <w:rFonts w:cs="Arial"/>
                <w:szCs w:val="18"/>
              </w:rPr>
              <w:t>that determine in some way</w:t>
            </w:r>
            <w:r w:rsidRPr="00471026">
              <w:rPr>
                <w:rFonts w:cs="Arial"/>
                <w:szCs w:val="18"/>
              </w:rPr>
              <w:t xml:space="preserve"> the event occurrence </w:t>
            </w:r>
          </w:p>
        </w:tc>
      </w:tr>
      <w:tr w:rsidR="00C33C14" w:rsidRPr="00471026" w14:paraId="7777D095" w14:textId="77777777" w:rsidTr="002617F3">
        <w:tc>
          <w:tcPr>
            <w:tcW w:w="3261" w:type="dxa"/>
            <w:shd w:val="clear" w:color="auto" w:fill="FFFFFF"/>
          </w:tcPr>
          <w:p w14:paraId="7BE8A157" w14:textId="4D90085F" w:rsidR="00C33C14" w:rsidRPr="00471026" w:rsidRDefault="00211B6F" w:rsidP="00C0086D">
            <w:pPr>
              <w:spacing w:line="240" w:lineRule="auto"/>
              <w:jc w:val="left"/>
              <w:rPr>
                <w:rFonts w:cs="Arial"/>
                <w:szCs w:val="18"/>
              </w:rPr>
            </w:pPr>
            <w:r w:rsidRPr="00471026">
              <w:rPr>
                <w:rFonts w:cs="Arial"/>
              </w:rPr>
              <w:t>Other failures</w:t>
            </w:r>
          </w:p>
        </w:tc>
        <w:tc>
          <w:tcPr>
            <w:tcW w:w="5526" w:type="dxa"/>
            <w:shd w:val="clear" w:color="auto" w:fill="FFFFFF"/>
          </w:tcPr>
          <w:p w14:paraId="26828011" w14:textId="465C9946" w:rsidR="00C33C14" w:rsidRPr="00471026" w:rsidRDefault="00211B6F" w:rsidP="003D3905">
            <w:pPr>
              <w:spacing w:after="40" w:line="240" w:lineRule="auto"/>
              <w:jc w:val="left"/>
              <w:rPr>
                <w:rFonts w:cs="Arial"/>
                <w:szCs w:val="18"/>
              </w:rPr>
            </w:pPr>
            <w:r w:rsidRPr="00471026">
              <w:rPr>
                <w:rFonts w:cs="Arial"/>
                <w:szCs w:val="18"/>
              </w:rPr>
              <w:t>Other</w:t>
            </w:r>
            <w:r w:rsidR="00C33C14" w:rsidRPr="00471026">
              <w:rPr>
                <w:rFonts w:cs="Arial"/>
                <w:szCs w:val="18"/>
              </w:rPr>
              <w:t xml:space="preserve"> deficiencies that occurred at (or after) the event</w:t>
            </w:r>
          </w:p>
        </w:tc>
      </w:tr>
      <w:tr w:rsidR="00C33C14" w:rsidRPr="00471026" w14:paraId="6D423FAF" w14:textId="77777777" w:rsidTr="002617F3">
        <w:tc>
          <w:tcPr>
            <w:tcW w:w="3261" w:type="dxa"/>
            <w:shd w:val="clear" w:color="auto" w:fill="FFFFFF"/>
          </w:tcPr>
          <w:p w14:paraId="4A89DE1D" w14:textId="75851548" w:rsidR="00C33C14" w:rsidRPr="00471026" w:rsidRDefault="00C33C14" w:rsidP="00C0086D">
            <w:pPr>
              <w:spacing w:line="240" w:lineRule="auto"/>
              <w:jc w:val="left"/>
              <w:rPr>
                <w:rFonts w:cs="Arial"/>
                <w:szCs w:val="18"/>
              </w:rPr>
            </w:pPr>
            <w:r w:rsidRPr="00471026">
              <w:rPr>
                <w:rFonts w:cs="Arial"/>
              </w:rPr>
              <w:t xml:space="preserve">Corrective </w:t>
            </w:r>
            <w:r w:rsidR="00211B6F" w:rsidRPr="00471026">
              <w:rPr>
                <w:rFonts w:cs="Arial"/>
              </w:rPr>
              <w:t xml:space="preserve">actions / </w:t>
            </w:r>
            <w:r w:rsidR="00C0086D" w:rsidRPr="00471026">
              <w:rPr>
                <w:rFonts w:cs="Arial"/>
              </w:rPr>
              <w:t>“</w:t>
            </w:r>
            <w:r w:rsidR="00211B6F" w:rsidRPr="00471026">
              <w:rPr>
                <w:rFonts w:cs="Arial"/>
              </w:rPr>
              <w:t>Lessons learned</w:t>
            </w:r>
            <w:r w:rsidR="00C0086D" w:rsidRPr="00471026">
              <w:rPr>
                <w:rFonts w:cs="Arial"/>
              </w:rPr>
              <w:t>”</w:t>
            </w:r>
          </w:p>
        </w:tc>
        <w:tc>
          <w:tcPr>
            <w:tcW w:w="5526" w:type="dxa"/>
            <w:shd w:val="clear" w:color="auto" w:fill="FFFFFF"/>
          </w:tcPr>
          <w:p w14:paraId="261ACD49" w14:textId="2779B267" w:rsidR="00C33C14" w:rsidRPr="00471026" w:rsidRDefault="00211B6F" w:rsidP="005C283E">
            <w:pPr>
              <w:spacing w:after="40" w:line="240" w:lineRule="auto"/>
              <w:jc w:val="left"/>
              <w:rPr>
                <w:rFonts w:cs="Arial"/>
                <w:szCs w:val="18"/>
              </w:rPr>
            </w:pPr>
            <w:r w:rsidRPr="00471026">
              <w:rPr>
                <w:rFonts w:cs="Arial"/>
                <w:szCs w:val="18"/>
              </w:rPr>
              <w:t xml:space="preserve">Actions taken, as included in the </w:t>
            </w:r>
            <w:r w:rsidR="005C283E" w:rsidRPr="00471026">
              <w:rPr>
                <w:rFonts w:cs="Arial"/>
                <w:szCs w:val="18"/>
              </w:rPr>
              <w:t>event description</w:t>
            </w:r>
          </w:p>
        </w:tc>
      </w:tr>
    </w:tbl>
    <w:p w14:paraId="68E2F1D9" w14:textId="2DAB7A6B" w:rsidR="00E05248" w:rsidRPr="00471026" w:rsidRDefault="00E05248" w:rsidP="00E05248">
      <w:pPr>
        <w:pStyle w:val="CETHeading1"/>
        <w:tabs>
          <w:tab w:val="num" w:pos="360"/>
        </w:tabs>
        <w:rPr>
          <w:rFonts w:cs="Arial"/>
          <w:lang w:val="en-GB"/>
        </w:rPr>
      </w:pPr>
      <w:r w:rsidRPr="00471026">
        <w:rPr>
          <w:rFonts w:cs="Arial"/>
          <w:lang w:val="en-GB"/>
        </w:rPr>
        <w:lastRenderedPageBreak/>
        <w:t>Results of the pilot application</w:t>
      </w:r>
    </w:p>
    <w:p w14:paraId="28BF9138" w14:textId="364B91B5" w:rsidR="00CD7B5C" w:rsidRPr="00471026" w:rsidRDefault="00730881" w:rsidP="00CF5C56">
      <w:pPr>
        <w:rPr>
          <w:rFonts w:cs="Arial"/>
        </w:rPr>
      </w:pPr>
      <w:r w:rsidRPr="00471026">
        <w:rPr>
          <w:rFonts w:cs="Arial"/>
        </w:rPr>
        <w:t xml:space="preserve">The pilot application of the ICFA protocol to five events allowed the objective identification (according to the principles of minimum inference and inter-analyst consensus) of the main factors </w:t>
      </w:r>
      <w:r w:rsidR="00574DEF">
        <w:rPr>
          <w:rFonts w:cs="Arial"/>
        </w:rPr>
        <w:t>that</w:t>
      </w:r>
      <w:r w:rsidR="00574DEF" w:rsidRPr="00471026">
        <w:rPr>
          <w:rFonts w:cs="Arial"/>
        </w:rPr>
        <w:t xml:space="preserve"> </w:t>
      </w:r>
      <w:r w:rsidRPr="00471026">
        <w:rPr>
          <w:rFonts w:cs="Arial"/>
        </w:rPr>
        <w:t xml:space="preserve">contributed to </w:t>
      </w:r>
      <w:r w:rsidR="00EF5F7E" w:rsidRPr="00471026">
        <w:rPr>
          <w:rFonts w:cs="Arial"/>
        </w:rPr>
        <w:t>its</w:t>
      </w:r>
      <w:r w:rsidRPr="00471026">
        <w:rPr>
          <w:rFonts w:cs="Arial"/>
        </w:rPr>
        <w:t xml:space="preserve"> occurrence.</w:t>
      </w:r>
    </w:p>
    <w:p w14:paraId="2766B116" w14:textId="0201670B" w:rsidR="00342304" w:rsidRDefault="00342304" w:rsidP="00222319">
      <w:pPr>
        <w:spacing w:after="120"/>
        <w:rPr>
          <w:rFonts w:cs="Arial"/>
        </w:rPr>
      </w:pPr>
      <w:r w:rsidRPr="00471026">
        <w:rPr>
          <w:rFonts w:cs="Arial"/>
        </w:rPr>
        <w:t>It should be noted that 'design and development' accounts for 46%</w:t>
      </w:r>
      <w:r w:rsidR="00EF5F7E" w:rsidRPr="00471026">
        <w:rPr>
          <w:rFonts w:cs="Arial"/>
        </w:rPr>
        <w:t xml:space="preserve"> (Figure 2)</w:t>
      </w:r>
      <w:r w:rsidRPr="00471026">
        <w:rPr>
          <w:rFonts w:cs="Arial"/>
        </w:rPr>
        <w:t xml:space="preserve"> of the contributing factors identified. The content related to this factor is shown in </w:t>
      </w:r>
      <w:r w:rsidR="00574DEF">
        <w:rPr>
          <w:rFonts w:cs="Arial"/>
        </w:rPr>
        <w:t>T</w:t>
      </w:r>
      <w:r w:rsidRPr="00471026">
        <w:rPr>
          <w:rFonts w:cs="Arial"/>
        </w:rPr>
        <w:t>able 4.</w:t>
      </w:r>
    </w:p>
    <w:p w14:paraId="5C6464EE" w14:textId="5832C6D7" w:rsidR="00CF5C56" w:rsidRPr="00471026" w:rsidRDefault="009A0701" w:rsidP="00CF5C56">
      <w:pPr>
        <w:rPr>
          <w:rFonts w:cs="Arial"/>
          <w:sz w:val="20"/>
        </w:rPr>
      </w:pPr>
      <w:r w:rsidRPr="00471026">
        <w:rPr>
          <w:rFonts w:cs="Arial"/>
          <w:noProof/>
          <w:lang w:val="es-ES" w:eastAsia="es-ES"/>
        </w:rPr>
        <w:drawing>
          <wp:inline distT="0" distB="0" distL="0" distR="0" wp14:anchorId="64A3162E" wp14:editId="6B13AB6E">
            <wp:extent cx="4006850" cy="1397000"/>
            <wp:effectExtent l="0" t="0" r="12700" b="12700"/>
            <wp:docPr id="1" name="Gráfico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A9FF504" w14:textId="36AB41F3" w:rsidR="00730881" w:rsidRPr="00471026" w:rsidRDefault="00730881" w:rsidP="00730881">
      <w:pPr>
        <w:pStyle w:val="CETCaption"/>
        <w:rPr>
          <w:rFonts w:cs="Arial"/>
        </w:rPr>
      </w:pPr>
      <w:r w:rsidRPr="00471026">
        <w:rPr>
          <w:rStyle w:val="CETCaptionCarattere"/>
          <w:rFonts w:cs="Arial"/>
          <w:i/>
        </w:rPr>
        <w:t xml:space="preserve">Figure 2: Contributing factors </w:t>
      </w:r>
      <w:r w:rsidR="00EF5F7E" w:rsidRPr="00471026">
        <w:rPr>
          <w:rStyle w:val="CETCaptionCarattere"/>
          <w:rFonts w:cs="Arial"/>
          <w:i/>
        </w:rPr>
        <w:t>distribution</w:t>
      </w:r>
      <w:r w:rsidRPr="00471026">
        <w:rPr>
          <w:rStyle w:val="CETCaptionCarattere"/>
          <w:rFonts w:cs="Arial"/>
          <w:i/>
        </w:rPr>
        <w:t xml:space="preserve"> in pilot events.</w:t>
      </w:r>
    </w:p>
    <w:p w14:paraId="5CB9A2E2" w14:textId="0006141E" w:rsidR="00CD7B5C" w:rsidRPr="00471026" w:rsidRDefault="00CD7B5C" w:rsidP="00CD7B5C">
      <w:pPr>
        <w:pStyle w:val="CETCaption"/>
        <w:rPr>
          <w:rFonts w:cs="Arial"/>
        </w:rPr>
      </w:pPr>
      <w:r w:rsidRPr="00471026">
        <w:rPr>
          <w:rStyle w:val="CETCaptionCarattere"/>
          <w:rFonts w:cs="Arial"/>
          <w:i/>
        </w:rPr>
        <w:t>Table 4: ‘Design and development’ issues involve</w:t>
      </w:r>
      <w:r w:rsidR="00342304" w:rsidRPr="00471026">
        <w:rPr>
          <w:rStyle w:val="CETCaptionCarattere"/>
          <w:rFonts w:cs="Arial"/>
          <w:i/>
        </w:rPr>
        <w:t>d</w:t>
      </w:r>
      <w:r w:rsidRPr="00471026">
        <w:rPr>
          <w:rStyle w:val="CETCaptionCarattere"/>
          <w:rFonts w:cs="Arial"/>
          <w:i/>
        </w:rPr>
        <w:t xml:space="preserve"> in the events</w:t>
      </w:r>
      <w:r w:rsidRPr="00471026">
        <w:rPr>
          <w:rFonts w:cs="Arial"/>
        </w:rP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410"/>
        <w:gridCol w:w="6377"/>
      </w:tblGrid>
      <w:tr w:rsidR="00EF5F7E" w:rsidRPr="00471026" w14:paraId="41EB4765" w14:textId="77777777" w:rsidTr="00B6548C">
        <w:tc>
          <w:tcPr>
            <w:tcW w:w="8787" w:type="dxa"/>
            <w:gridSpan w:val="2"/>
            <w:tcBorders>
              <w:top w:val="single" w:sz="12" w:space="0" w:color="008000"/>
              <w:bottom w:val="single" w:sz="6" w:space="0" w:color="008000"/>
            </w:tcBorders>
            <w:shd w:val="clear" w:color="auto" w:fill="FFFFFF"/>
          </w:tcPr>
          <w:p w14:paraId="39D3EB0B" w14:textId="77777777" w:rsidR="00EF5F7E" w:rsidRPr="00471026" w:rsidRDefault="00EF5F7E" w:rsidP="00EF5F7E">
            <w:pPr>
              <w:rPr>
                <w:rFonts w:cs="Arial"/>
                <w:b/>
              </w:rPr>
            </w:pPr>
            <w:r w:rsidRPr="00471026">
              <w:rPr>
                <w:rFonts w:cs="Arial"/>
                <w:b/>
              </w:rPr>
              <w:t>Factor 9.2 - Design and development</w:t>
            </w:r>
          </w:p>
          <w:p w14:paraId="6AE3D83B" w14:textId="2E4D2BE4" w:rsidR="00EF5F7E" w:rsidRPr="00471026" w:rsidRDefault="00EF5F7E" w:rsidP="00E15FD9">
            <w:pPr>
              <w:rPr>
                <w:rFonts w:cs="Arial"/>
                <w:b/>
              </w:rPr>
            </w:pPr>
            <w:r w:rsidRPr="00471026">
              <w:rPr>
                <w:rFonts w:cs="Arial"/>
              </w:rPr>
              <w:t>It considers the design and implementation of work/process control and related infrastructure</w:t>
            </w:r>
            <w:r w:rsidR="00F30E65" w:rsidRPr="00471026">
              <w:rPr>
                <w:rFonts w:cs="Arial"/>
              </w:rPr>
              <w:t>s</w:t>
            </w:r>
          </w:p>
        </w:tc>
      </w:tr>
      <w:tr w:rsidR="00EF5F7E" w:rsidRPr="00471026" w14:paraId="40D2155F" w14:textId="77777777" w:rsidTr="002617F3">
        <w:tc>
          <w:tcPr>
            <w:tcW w:w="2410" w:type="dxa"/>
            <w:shd w:val="clear" w:color="auto" w:fill="FFFFFF"/>
          </w:tcPr>
          <w:p w14:paraId="7A1EC02F" w14:textId="085409A9" w:rsidR="00EF5F7E" w:rsidRPr="00471026" w:rsidRDefault="00EF5F7E" w:rsidP="00E15FD9">
            <w:pPr>
              <w:jc w:val="left"/>
              <w:rPr>
                <w:rFonts w:cs="Arial"/>
              </w:rPr>
            </w:pPr>
            <w:r w:rsidRPr="00471026">
              <w:rPr>
                <w:rFonts w:cs="Arial"/>
              </w:rPr>
              <w:t>2005-222 KHK</w:t>
            </w:r>
          </w:p>
        </w:tc>
        <w:tc>
          <w:tcPr>
            <w:tcW w:w="6377" w:type="dxa"/>
            <w:shd w:val="clear" w:color="auto" w:fill="FFFFFF"/>
          </w:tcPr>
          <w:p w14:paraId="1D6BFA7C" w14:textId="77777777" w:rsidR="00EF5F7E" w:rsidRPr="00471026" w:rsidRDefault="00EF5F7E" w:rsidP="003D3905">
            <w:pPr>
              <w:spacing w:after="40" w:line="240" w:lineRule="auto"/>
              <w:rPr>
                <w:rFonts w:cs="Arial"/>
              </w:rPr>
            </w:pPr>
            <w:r w:rsidRPr="00471026">
              <w:rPr>
                <w:rFonts w:cs="Arial"/>
              </w:rPr>
              <w:t>Hose kink during the filling (Operational readiness)</w:t>
            </w:r>
          </w:p>
          <w:p w14:paraId="08BFCAC1" w14:textId="1552070D" w:rsidR="00EF5F7E" w:rsidRPr="00471026" w:rsidRDefault="00EF5F7E" w:rsidP="003D3905">
            <w:pPr>
              <w:spacing w:after="40" w:line="240" w:lineRule="auto"/>
              <w:rPr>
                <w:rFonts w:cs="Arial"/>
              </w:rPr>
            </w:pPr>
            <w:r w:rsidRPr="00471026">
              <w:rPr>
                <w:rFonts w:cs="Arial"/>
              </w:rPr>
              <w:t>Threaded part of the flexible hose no fixed (Operational readiness)</w:t>
            </w:r>
          </w:p>
        </w:tc>
      </w:tr>
      <w:tr w:rsidR="00EF5F7E" w:rsidRPr="00471026" w14:paraId="75ACF114" w14:textId="77777777" w:rsidTr="002617F3">
        <w:tc>
          <w:tcPr>
            <w:tcW w:w="2410" w:type="dxa"/>
            <w:shd w:val="clear" w:color="auto" w:fill="FFFFFF"/>
          </w:tcPr>
          <w:p w14:paraId="568AAD62" w14:textId="06FE7291" w:rsidR="00EF5F7E" w:rsidRPr="00471026" w:rsidRDefault="00EF5F7E" w:rsidP="00E15FD9">
            <w:pPr>
              <w:spacing w:after="40"/>
              <w:jc w:val="left"/>
              <w:rPr>
                <w:rFonts w:cs="Arial"/>
                <w:szCs w:val="18"/>
              </w:rPr>
            </w:pPr>
            <w:r w:rsidRPr="00471026">
              <w:rPr>
                <w:rFonts w:cs="Arial"/>
              </w:rPr>
              <w:t>1 H2 Tools</w:t>
            </w:r>
          </w:p>
        </w:tc>
        <w:tc>
          <w:tcPr>
            <w:tcW w:w="6377" w:type="dxa"/>
            <w:shd w:val="clear" w:color="auto" w:fill="FFFFFF"/>
          </w:tcPr>
          <w:p w14:paraId="23EE9115" w14:textId="77777777" w:rsidR="00EF5F7E" w:rsidRPr="00471026" w:rsidRDefault="00EF5F7E" w:rsidP="003D3905">
            <w:pPr>
              <w:spacing w:after="40" w:line="240" w:lineRule="auto"/>
              <w:rPr>
                <w:rFonts w:cs="Arial"/>
                <w:szCs w:val="18"/>
              </w:rPr>
            </w:pPr>
            <w:r w:rsidRPr="00471026">
              <w:rPr>
                <w:rFonts w:cs="Arial"/>
                <w:szCs w:val="18"/>
              </w:rPr>
              <w:t>Lack of automatic control for refuelling speed (Automatic control)</w:t>
            </w:r>
          </w:p>
          <w:p w14:paraId="212A7A92" w14:textId="3ED44389" w:rsidR="00EF5F7E" w:rsidRPr="00471026" w:rsidRDefault="00EF5F7E" w:rsidP="003D3905">
            <w:pPr>
              <w:spacing w:after="40" w:line="240" w:lineRule="auto"/>
              <w:rPr>
                <w:rFonts w:cs="Arial"/>
                <w:szCs w:val="18"/>
              </w:rPr>
            </w:pPr>
            <w:r w:rsidRPr="00471026">
              <w:rPr>
                <w:rFonts w:cs="Arial"/>
                <w:szCs w:val="18"/>
              </w:rPr>
              <w:t>Procedure leads to human error (Human factor)</w:t>
            </w:r>
          </w:p>
        </w:tc>
      </w:tr>
      <w:tr w:rsidR="00EF5F7E" w:rsidRPr="00471026" w14:paraId="3319CC3E" w14:textId="77777777" w:rsidTr="002617F3">
        <w:tc>
          <w:tcPr>
            <w:tcW w:w="2410" w:type="dxa"/>
            <w:shd w:val="clear" w:color="auto" w:fill="FFFFFF"/>
          </w:tcPr>
          <w:p w14:paraId="17403EC5" w14:textId="1CC98FAD" w:rsidR="00EF5F7E" w:rsidRPr="00471026" w:rsidRDefault="00EF5F7E" w:rsidP="00E15FD9">
            <w:pPr>
              <w:spacing w:after="40"/>
              <w:jc w:val="left"/>
              <w:rPr>
                <w:rFonts w:cs="Arial"/>
              </w:rPr>
            </w:pPr>
            <w:r w:rsidRPr="00471026">
              <w:rPr>
                <w:rFonts w:cs="Arial"/>
                <w:szCs w:val="18"/>
              </w:rPr>
              <w:t>5 H2 Tools</w:t>
            </w:r>
          </w:p>
        </w:tc>
        <w:tc>
          <w:tcPr>
            <w:tcW w:w="6377" w:type="dxa"/>
            <w:shd w:val="clear" w:color="auto" w:fill="FFFFFF"/>
          </w:tcPr>
          <w:p w14:paraId="16B4D9F2" w14:textId="2E7F9900" w:rsidR="00EF5F7E" w:rsidRPr="00471026" w:rsidRDefault="00EF5F7E" w:rsidP="003D3905">
            <w:pPr>
              <w:spacing w:after="40" w:line="240" w:lineRule="auto"/>
              <w:rPr>
                <w:rFonts w:cs="Arial"/>
                <w:szCs w:val="18"/>
              </w:rPr>
            </w:pPr>
            <w:r w:rsidRPr="00471026">
              <w:rPr>
                <w:rFonts w:cs="Arial"/>
                <w:szCs w:val="18"/>
              </w:rPr>
              <w:t>Bending hose during use (Specification operational readiness)</w:t>
            </w:r>
          </w:p>
        </w:tc>
      </w:tr>
      <w:tr w:rsidR="00EF5F7E" w:rsidRPr="00471026" w14:paraId="367BE8A4" w14:textId="77777777" w:rsidTr="002617F3">
        <w:tc>
          <w:tcPr>
            <w:tcW w:w="2410" w:type="dxa"/>
            <w:shd w:val="clear" w:color="auto" w:fill="FFFFFF"/>
          </w:tcPr>
          <w:p w14:paraId="06A97565" w14:textId="36798909" w:rsidR="00EF5F7E" w:rsidRPr="00471026" w:rsidRDefault="00EF5F7E" w:rsidP="00E15FD9">
            <w:pPr>
              <w:spacing w:after="40"/>
              <w:jc w:val="left"/>
              <w:rPr>
                <w:rFonts w:cs="Arial"/>
                <w:szCs w:val="18"/>
              </w:rPr>
            </w:pPr>
            <w:r w:rsidRPr="00471026">
              <w:rPr>
                <w:rFonts w:cs="Arial"/>
              </w:rPr>
              <w:t>2005-120 HHK</w:t>
            </w:r>
          </w:p>
        </w:tc>
        <w:tc>
          <w:tcPr>
            <w:tcW w:w="6377" w:type="dxa"/>
            <w:shd w:val="clear" w:color="auto" w:fill="FFFFFF"/>
          </w:tcPr>
          <w:p w14:paraId="2E09512D" w14:textId="3DAAF6D8" w:rsidR="00EF5F7E" w:rsidRPr="00471026" w:rsidRDefault="00EF5F7E" w:rsidP="003D3905">
            <w:pPr>
              <w:spacing w:after="40" w:line="240" w:lineRule="auto"/>
              <w:jc w:val="left"/>
              <w:rPr>
                <w:rFonts w:cs="Arial"/>
                <w:szCs w:val="18"/>
              </w:rPr>
            </w:pPr>
            <w:r w:rsidRPr="00471026">
              <w:rPr>
                <w:rFonts w:cs="Arial"/>
                <w:szCs w:val="18"/>
              </w:rPr>
              <w:t>Fatigue failure due to weight of filler and safety coupling (Operational readiness)</w:t>
            </w:r>
          </w:p>
        </w:tc>
      </w:tr>
    </w:tbl>
    <w:p w14:paraId="5E4E9922" w14:textId="1846017F" w:rsidR="00E700D3" w:rsidRPr="00471026" w:rsidRDefault="003D3905" w:rsidP="00222319">
      <w:pPr>
        <w:spacing w:before="120"/>
        <w:rPr>
          <w:rFonts w:cs="Arial"/>
        </w:rPr>
      </w:pPr>
      <w:r w:rsidRPr="00471026">
        <w:rPr>
          <w:rFonts w:cs="Arial"/>
        </w:rPr>
        <w:t xml:space="preserve">The application of the protocol has also permitted the categorisation of the "corrective actions/lessons learned" and the identification of the focus of </w:t>
      </w:r>
      <w:r w:rsidR="00F30E65" w:rsidRPr="00471026">
        <w:rPr>
          <w:rFonts w:cs="Arial"/>
        </w:rPr>
        <w:t xml:space="preserve">the </w:t>
      </w:r>
      <w:r w:rsidRPr="00471026">
        <w:rPr>
          <w:rFonts w:cs="Arial"/>
        </w:rPr>
        <w:t>action from a socio-technical perspective</w:t>
      </w:r>
      <w:r w:rsidR="00FB5C19" w:rsidRPr="00471026">
        <w:rPr>
          <w:rFonts w:cs="Arial"/>
        </w:rPr>
        <w:t xml:space="preserve"> </w:t>
      </w:r>
      <w:r w:rsidR="00CD7B5C" w:rsidRPr="00471026">
        <w:rPr>
          <w:rFonts w:cs="Arial"/>
        </w:rPr>
        <w:t>(</w:t>
      </w:r>
      <w:r w:rsidR="00574DEF">
        <w:rPr>
          <w:rFonts w:cs="Arial"/>
        </w:rPr>
        <w:t>T</w:t>
      </w:r>
      <w:r w:rsidR="00CD7B5C" w:rsidRPr="00471026">
        <w:rPr>
          <w:rFonts w:cs="Arial"/>
        </w:rPr>
        <w:t>able 5</w:t>
      </w:r>
      <w:r w:rsidR="00BA514E" w:rsidRPr="00471026">
        <w:rPr>
          <w:rFonts w:cs="Arial"/>
        </w:rPr>
        <w:t>)</w:t>
      </w:r>
      <w:r w:rsidR="00F30E65" w:rsidRPr="00471026">
        <w:rPr>
          <w:rFonts w:cs="Arial"/>
        </w:rPr>
        <w:t>.</w:t>
      </w:r>
    </w:p>
    <w:p w14:paraId="7DD2BC20" w14:textId="0F8E326F" w:rsidR="00CD7B5C" w:rsidRPr="00471026" w:rsidRDefault="002617F3" w:rsidP="00CD7B5C">
      <w:pPr>
        <w:pStyle w:val="CETCaption"/>
        <w:rPr>
          <w:rFonts w:cs="Arial"/>
        </w:rPr>
      </w:pPr>
      <w:r>
        <w:rPr>
          <w:rStyle w:val="CETCaptionCarattere"/>
          <w:rFonts w:cs="Arial"/>
          <w:i/>
        </w:rPr>
        <w:t xml:space="preserve">Table 5: </w:t>
      </w:r>
      <w:r w:rsidR="00CD7B5C" w:rsidRPr="00471026">
        <w:rPr>
          <w:rStyle w:val="CETCaptionCarattere"/>
          <w:rFonts w:cs="Arial"/>
          <w:i/>
        </w:rPr>
        <w:t>Socio-</w:t>
      </w:r>
      <w:r w:rsidR="00471026" w:rsidRPr="00471026">
        <w:rPr>
          <w:rStyle w:val="CETCaptionCarattere"/>
          <w:rFonts w:cs="Arial"/>
          <w:i/>
        </w:rPr>
        <w:t>technical</w:t>
      </w:r>
      <w:r w:rsidR="00CD7B5C" w:rsidRPr="00471026">
        <w:rPr>
          <w:rStyle w:val="CETCaptionCarattere"/>
          <w:rFonts w:cs="Arial"/>
          <w:i/>
        </w:rPr>
        <w:t xml:space="preserve"> level and focus of the corrective actions and lessons learned</w:t>
      </w:r>
      <w:r w:rsidR="00CD7B5C" w:rsidRPr="00471026">
        <w:rPr>
          <w:rFonts w:cs="Arial"/>
        </w:rPr>
        <w:t>.</w:t>
      </w:r>
    </w:p>
    <w:tbl>
      <w:tblPr>
        <w:tblW w:w="0" w:type="auto"/>
        <w:tblBorders>
          <w:top w:val="single" w:sz="12" w:space="0" w:color="008000"/>
          <w:bottom w:val="single" w:sz="12" w:space="0" w:color="008000"/>
        </w:tblBorders>
        <w:shd w:val="clear" w:color="auto" w:fill="FFFFFF"/>
        <w:tblLayout w:type="fixed"/>
        <w:tblCellMar>
          <w:left w:w="0" w:type="dxa"/>
          <w:right w:w="0" w:type="dxa"/>
        </w:tblCellMar>
        <w:tblLook w:val="00A0" w:firstRow="1" w:lastRow="0" w:firstColumn="1" w:lastColumn="0" w:noHBand="0" w:noVBand="0"/>
      </w:tblPr>
      <w:tblGrid>
        <w:gridCol w:w="2694"/>
        <w:gridCol w:w="6093"/>
      </w:tblGrid>
      <w:tr w:rsidR="003D3905" w:rsidRPr="00471026" w14:paraId="5989AE3B" w14:textId="77777777" w:rsidTr="003D3905">
        <w:tc>
          <w:tcPr>
            <w:tcW w:w="2694" w:type="dxa"/>
            <w:tcBorders>
              <w:top w:val="single" w:sz="12" w:space="0" w:color="008000"/>
              <w:bottom w:val="single" w:sz="6" w:space="0" w:color="008000"/>
            </w:tcBorders>
            <w:shd w:val="clear" w:color="auto" w:fill="FFFFFF"/>
          </w:tcPr>
          <w:p w14:paraId="756707E9" w14:textId="2746B9B9" w:rsidR="003D3905" w:rsidRPr="00471026" w:rsidRDefault="003D3905" w:rsidP="003D3905">
            <w:pPr>
              <w:rPr>
                <w:rFonts w:cs="Arial"/>
                <w:b/>
              </w:rPr>
            </w:pPr>
            <w:r w:rsidRPr="00471026">
              <w:rPr>
                <w:rFonts w:cs="Arial"/>
                <w:b/>
              </w:rPr>
              <w:t>Socio-technical level</w:t>
            </w:r>
          </w:p>
        </w:tc>
        <w:tc>
          <w:tcPr>
            <w:tcW w:w="6093" w:type="dxa"/>
            <w:tcBorders>
              <w:top w:val="single" w:sz="12" w:space="0" w:color="008000"/>
              <w:bottom w:val="single" w:sz="6" w:space="0" w:color="008000"/>
            </w:tcBorders>
            <w:shd w:val="clear" w:color="auto" w:fill="FFFFFF"/>
          </w:tcPr>
          <w:p w14:paraId="620449A2" w14:textId="45AEE175" w:rsidR="003D3905" w:rsidRPr="00471026" w:rsidRDefault="003D3905" w:rsidP="00E15FD9">
            <w:pPr>
              <w:rPr>
                <w:rFonts w:cs="Arial"/>
                <w:b/>
              </w:rPr>
            </w:pPr>
            <w:r w:rsidRPr="00471026">
              <w:rPr>
                <w:rFonts w:cs="Arial"/>
                <w:b/>
              </w:rPr>
              <w:t>Action Focus</w:t>
            </w:r>
          </w:p>
        </w:tc>
      </w:tr>
      <w:tr w:rsidR="003D3905" w:rsidRPr="00471026" w14:paraId="359EB36B" w14:textId="77777777" w:rsidTr="00E15FD9">
        <w:tc>
          <w:tcPr>
            <w:tcW w:w="2694" w:type="dxa"/>
            <w:shd w:val="clear" w:color="auto" w:fill="FFFFFF"/>
          </w:tcPr>
          <w:p w14:paraId="11EDFA3C" w14:textId="41F32D44" w:rsidR="003D3905" w:rsidRPr="00471026" w:rsidRDefault="003D3905" w:rsidP="003D3905">
            <w:pPr>
              <w:jc w:val="left"/>
              <w:rPr>
                <w:rFonts w:cs="Arial"/>
              </w:rPr>
            </w:pPr>
            <w:r w:rsidRPr="00471026">
              <w:rPr>
                <w:rFonts w:cs="Arial"/>
              </w:rPr>
              <w:t xml:space="preserve">Technical </w:t>
            </w:r>
          </w:p>
        </w:tc>
        <w:tc>
          <w:tcPr>
            <w:tcW w:w="6093" w:type="dxa"/>
            <w:shd w:val="clear" w:color="auto" w:fill="FFFFFF"/>
          </w:tcPr>
          <w:p w14:paraId="37BFA994" w14:textId="77777777" w:rsidR="003D3905" w:rsidRPr="00471026" w:rsidRDefault="003D3905" w:rsidP="003D3905">
            <w:pPr>
              <w:spacing w:after="40" w:line="240" w:lineRule="auto"/>
              <w:rPr>
                <w:rFonts w:cs="Arial"/>
              </w:rPr>
            </w:pPr>
            <w:r w:rsidRPr="00471026">
              <w:rPr>
                <w:rFonts w:cs="Arial"/>
              </w:rPr>
              <w:t>Protective tube installed to prevent bending radius of the filler hose</w:t>
            </w:r>
          </w:p>
          <w:p w14:paraId="4ED96B68" w14:textId="77777777" w:rsidR="003D3905" w:rsidRPr="00471026" w:rsidRDefault="003D3905" w:rsidP="003D3905">
            <w:pPr>
              <w:spacing w:after="40" w:line="240" w:lineRule="auto"/>
              <w:rPr>
                <w:rFonts w:cs="Arial"/>
              </w:rPr>
            </w:pPr>
            <w:r w:rsidRPr="00471026">
              <w:rPr>
                <w:rFonts w:cs="Arial"/>
              </w:rPr>
              <w:t>Short the replacement period of filler hose</w:t>
            </w:r>
          </w:p>
          <w:p w14:paraId="05FA4A0E" w14:textId="77777777" w:rsidR="003D3905" w:rsidRPr="00471026" w:rsidRDefault="003D3905" w:rsidP="003D3905">
            <w:pPr>
              <w:spacing w:after="40" w:line="240" w:lineRule="auto"/>
              <w:rPr>
                <w:rFonts w:cs="Arial"/>
              </w:rPr>
            </w:pPr>
            <w:r w:rsidRPr="00471026">
              <w:rPr>
                <w:rFonts w:cs="Arial"/>
              </w:rPr>
              <w:t>Replace fuelling hoses every 6 months</w:t>
            </w:r>
          </w:p>
          <w:p w14:paraId="6DF7A352" w14:textId="77777777" w:rsidR="003D3905" w:rsidRPr="00471026" w:rsidRDefault="003D3905" w:rsidP="003D3905">
            <w:pPr>
              <w:spacing w:after="40" w:line="240" w:lineRule="auto"/>
              <w:rPr>
                <w:rFonts w:cs="Arial"/>
              </w:rPr>
            </w:pPr>
            <w:r w:rsidRPr="00471026">
              <w:rPr>
                <w:rFonts w:cs="Arial"/>
              </w:rPr>
              <w:t>Disable the fuelling process (if the sequence is done improperly)</w:t>
            </w:r>
          </w:p>
          <w:p w14:paraId="50416F62" w14:textId="77777777" w:rsidR="003D3905" w:rsidRPr="00471026" w:rsidRDefault="003D3905" w:rsidP="003D3905">
            <w:pPr>
              <w:spacing w:after="40" w:line="240" w:lineRule="auto"/>
              <w:rPr>
                <w:rFonts w:cs="Arial"/>
              </w:rPr>
            </w:pPr>
            <w:r w:rsidRPr="00471026">
              <w:rPr>
                <w:rFonts w:cs="Arial"/>
              </w:rPr>
              <w:t>Equip technicians with portable sensors</w:t>
            </w:r>
          </w:p>
          <w:p w14:paraId="795AE055" w14:textId="77777777" w:rsidR="003D3905" w:rsidRPr="00471026" w:rsidRDefault="003D3905" w:rsidP="003D3905">
            <w:pPr>
              <w:spacing w:after="40" w:line="240" w:lineRule="auto"/>
              <w:rPr>
                <w:rFonts w:cs="Arial"/>
              </w:rPr>
            </w:pPr>
            <w:r w:rsidRPr="00471026">
              <w:rPr>
                <w:rFonts w:cs="Arial"/>
              </w:rPr>
              <w:t>Install a metal fitting to avoid screw loose</w:t>
            </w:r>
          </w:p>
          <w:p w14:paraId="742E772B" w14:textId="2E5D2600" w:rsidR="003D3905" w:rsidRPr="00471026" w:rsidRDefault="003D3905" w:rsidP="003D3905">
            <w:pPr>
              <w:spacing w:after="40" w:line="240" w:lineRule="auto"/>
              <w:rPr>
                <w:rFonts w:cs="Arial"/>
              </w:rPr>
            </w:pPr>
            <w:r w:rsidRPr="00471026">
              <w:rPr>
                <w:rFonts w:cs="Arial"/>
              </w:rPr>
              <w:t>Full leakage test (each time an alarm is triggered)</w:t>
            </w:r>
          </w:p>
        </w:tc>
      </w:tr>
      <w:tr w:rsidR="003D3905" w:rsidRPr="00471026" w14:paraId="54DEA4A2" w14:textId="77777777" w:rsidTr="00E15FD9">
        <w:tc>
          <w:tcPr>
            <w:tcW w:w="2694" w:type="dxa"/>
            <w:shd w:val="clear" w:color="auto" w:fill="FFFFFF"/>
          </w:tcPr>
          <w:p w14:paraId="2455E105" w14:textId="59D4DC17" w:rsidR="003D3905" w:rsidRPr="00471026" w:rsidRDefault="003D3905" w:rsidP="00E15FD9">
            <w:pPr>
              <w:spacing w:after="40"/>
              <w:jc w:val="left"/>
              <w:rPr>
                <w:rFonts w:cs="Arial"/>
                <w:szCs w:val="18"/>
              </w:rPr>
            </w:pPr>
            <w:r w:rsidRPr="00471026">
              <w:rPr>
                <w:rFonts w:cs="Arial"/>
              </w:rPr>
              <w:t>Human</w:t>
            </w:r>
          </w:p>
        </w:tc>
        <w:tc>
          <w:tcPr>
            <w:tcW w:w="6093" w:type="dxa"/>
            <w:shd w:val="clear" w:color="auto" w:fill="FFFFFF"/>
          </w:tcPr>
          <w:p w14:paraId="3FB66F75" w14:textId="725785C1" w:rsidR="003D3905" w:rsidRPr="00471026" w:rsidRDefault="003D3905" w:rsidP="003D3905">
            <w:pPr>
              <w:spacing w:after="40" w:line="240" w:lineRule="auto"/>
              <w:rPr>
                <w:rFonts w:cs="Arial"/>
                <w:szCs w:val="18"/>
              </w:rPr>
            </w:pPr>
            <w:r w:rsidRPr="00471026">
              <w:rPr>
                <w:rFonts w:cs="Arial"/>
              </w:rPr>
              <w:t>Avoid hose kinks during refuelling</w:t>
            </w:r>
          </w:p>
        </w:tc>
      </w:tr>
      <w:tr w:rsidR="003D3905" w:rsidRPr="00471026" w14:paraId="3441A941" w14:textId="77777777" w:rsidTr="00E15FD9">
        <w:tc>
          <w:tcPr>
            <w:tcW w:w="2694" w:type="dxa"/>
            <w:shd w:val="clear" w:color="auto" w:fill="FFFFFF"/>
          </w:tcPr>
          <w:p w14:paraId="7C5EBF7A" w14:textId="78FC160C" w:rsidR="003D3905" w:rsidRPr="00471026" w:rsidRDefault="003D3905" w:rsidP="00E15FD9">
            <w:pPr>
              <w:spacing w:after="40"/>
              <w:jc w:val="left"/>
              <w:rPr>
                <w:rFonts w:cs="Arial"/>
              </w:rPr>
            </w:pPr>
            <w:r w:rsidRPr="00471026">
              <w:rPr>
                <w:rFonts w:cs="Arial"/>
              </w:rPr>
              <w:t>Organizational</w:t>
            </w:r>
          </w:p>
        </w:tc>
        <w:tc>
          <w:tcPr>
            <w:tcW w:w="6093" w:type="dxa"/>
            <w:shd w:val="clear" w:color="auto" w:fill="FFFFFF"/>
          </w:tcPr>
          <w:p w14:paraId="02EE465D" w14:textId="77777777" w:rsidR="003D3905" w:rsidRPr="00471026" w:rsidRDefault="003D3905" w:rsidP="003D3905">
            <w:pPr>
              <w:spacing w:after="40" w:line="240" w:lineRule="auto"/>
              <w:rPr>
                <w:rFonts w:cs="Arial"/>
                <w:szCs w:val="18"/>
              </w:rPr>
            </w:pPr>
            <w:r w:rsidRPr="00471026">
              <w:rPr>
                <w:rFonts w:cs="Arial"/>
                <w:szCs w:val="18"/>
              </w:rPr>
              <w:t>Daily examination of fuelling hoses</w:t>
            </w:r>
          </w:p>
          <w:p w14:paraId="0A0E00C8" w14:textId="77777777" w:rsidR="003D3905" w:rsidRPr="00471026" w:rsidRDefault="003D3905" w:rsidP="003D3905">
            <w:pPr>
              <w:spacing w:after="40" w:line="240" w:lineRule="auto"/>
              <w:rPr>
                <w:rFonts w:cs="Arial"/>
                <w:szCs w:val="18"/>
              </w:rPr>
            </w:pPr>
            <w:r w:rsidRPr="00471026">
              <w:rPr>
                <w:rFonts w:cs="Arial"/>
                <w:szCs w:val="18"/>
              </w:rPr>
              <w:t>Improve the fuelling procedure</w:t>
            </w:r>
          </w:p>
          <w:p w14:paraId="59E4A959" w14:textId="5640A577" w:rsidR="003D3905" w:rsidRPr="00471026" w:rsidRDefault="003D3905" w:rsidP="003D3905">
            <w:pPr>
              <w:spacing w:after="40" w:line="240" w:lineRule="auto"/>
              <w:rPr>
                <w:rFonts w:cs="Arial"/>
                <w:szCs w:val="18"/>
              </w:rPr>
            </w:pPr>
            <w:r w:rsidRPr="00471026">
              <w:rPr>
                <w:rFonts w:cs="Arial"/>
                <w:szCs w:val="18"/>
              </w:rPr>
              <w:t>Carry out emergency exercises</w:t>
            </w:r>
          </w:p>
        </w:tc>
      </w:tr>
      <w:tr w:rsidR="003D3905" w:rsidRPr="00471026" w14:paraId="0F277BCE" w14:textId="77777777" w:rsidTr="00E15FD9">
        <w:tc>
          <w:tcPr>
            <w:tcW w:w="2694" w:type="dxa"/>
            <w:shd w:val="clear" w:color="auto" w:fill="FFFFFF"/>
          </w:tcPr>
          <w:p w14:paraId="5606E7FF" w14:textId="4CF32AC9" w:rsidR="003D3905" w:rsidRPr="00471026" w:rsidRDefault="003D3905" w:rsidP="00E15FD9">
            <w:pPr>
              <w:spacing w:after="40"/>
              <w:jc w:val="left"/>
              <w:rPr>
                <w:rFonts w:cs="Arial"/>
                <w:szCs w:val="18"/>
              </w:rPr>
            </w:pPr>
            <w:r w:rsidRPr="00471026">
              <w:rPr>
                <w:rFonts w:cs="Arial"/>
              </w:rPr>
              <w:t>Inter-organizational</w:t>
            </w:r>
          </w:p>
        </w:tc>
        <w:tc>
          <w:tcPr>
            <w:tcW w:w="6093" w:type="dxa"/>
            <w:shd w:val="clear" w:color="auto" w:fill="FFFFFF"/>
          </w:tcPr>
          <w:p w14:paraId="61FF031E" w14:textId="1E91C065" w:rsidR="003D3905" w:rsidRPr="00471026" w:rsidRDefault="003D3905" w:rsidP="003D3905">
            <w:pPr>
              <w:spacing w:after="40" w:line="240" w:lineRule="auto"/>
              <w:jc w:val="left"/>
              <w:rPr>
                <w:rFonts w:cs="Arial"/>
                <w:szCs w:val="18"/>
              </w:rPr>
            </w:pPr>
            <w:r w:rsidRPr="00471026">
              <w:rPr>
                <w:rFonts w:cs="Arial"/>
                <w:szCs w:val="18"/>
              </w:rPr>
              <w:t>Failure investigation by producer (O-ring of the bus tank)</w:t>
            </w:r>
          </w:p>
        </w:tc>
      </w:tr>
    </w:tbl>
    <w:p w14:paraId="5C79A5BC" w14:textId="77777777" w:rsidR="00DC2179" w:rsidRPr="00471026" w:rsidRDefault="00DC2179" w:rsidP="00C74EEF">
      <w:pPr>
        <w:pStyle w:val="CETHeading1"/>
        <w:tabs>
          <w:tab w:val="num" w:pos="360"/>
        </w:tabs>
        <w:rPr>
          <w:rFonts w:cs="Arial"/>
          <w:lang w:val="en-GB"/>
        </w:rPr>
      </w:pPr>
      <w:r w:rsidRPr="00471026">
        <w:rPr>
          <w:rFonts w:cs="Arial"/>
          <w:lang w:val="en-GB"/>
        </w:rPr>
        <w:t>Conclusions</w:t>
      </w:r>
    </w:p>
    <w:p w14:paraId="379FE9BD" w14:textId="03647E10" w:rsidR="00447CCE" w:rsidRPr="00471026" w:rsidRDefault="00795DF1" w:rsidP="00CF5C56">
      <w:pPr>
        <w:rPr>
          <w:rFonts w:cs="Arial"/>
        </w:rPr>
      </w:pPr>
      <w:r w:rsidRPr="00471026">
        <w:rPr>
          <w:rFonts w:cs="Arial"/>
        </w:rPr>
        <w:t xml:space="preserve">The application of the ICFA protocol has proved to be </w:t>
      </w:r>
      <w:r w:rsidR="006F780F" w:rsidRPr="006F780F">
        <w:rPr>
          <w:rFonts w:cs="Arial"/>
          <w:highlight w:val="yellow"/>
        </w:rPr>
        <w:t>effective</w:t>
      </w:r>
      <w:r w:rsidRPr="00471026">
        <w:rPr>
          <w:rFonts w:cs="Arial"/>
        </w:rPr>
        <w:t xml:space="preserve"> in the analysis of 5 HRS events from 4 different databases, allowing the identification of 13 contributing factors.</w:t>
      </w:r>
      <w:r w:rsidR="002617F3">
        <w:rPr>
          <w:rFonts w:cs="Arial"/>
        </w:rPr>
        <w:t xml:space="preserve"> </w:t>
      </w:r>
      <w:r w:rsidRPr="00471026">
        <w:rPr>
          <w:rFonts w:cs="Arial"/>
        </w:rPr>
        <w:t xml:space="preserve">Its </w:t>
      </w:r>
      <w:r w:rsidR="002617F3">
        <w:rPr>
          <w:rFonts w:cs="Arial"/>
        </w:rPr>
        <w:t>implementation</w:t>
      </w:r>
      <w:r w:rsidRPr="00471026">
        <w:rPr>
          <w:rFonts w:cs="Arial"/>
        </w:rPr>
        <w:t xml:space="preserve"> by different analysts enables valuable and reliable information to be obtained, avoiding the bias of subjectivity. It also helps to identify and categorise the contributing factors, providing relevant safety information, and allowing the collection of the operational </w:t>
      </w:r>
      <w:r w:rsidR="00F1376F">
        <w:rPr>
          <w:rFonts w:cs="Arial"/>
        </w:rPr>
        <w:t>experiences (corrective actions/</w:t>
      </w:r>
      <w:r w:rsidRPr="00471026">
        <w:rPr>
          <w:rFonts w:cs="Arial"/>
        </w:rPr>
        <w:t xml:space="preserve">lessons learned) that the different stations have implemented after </w:t>
      </w:r>
      <w:r w:rsidRPr="00471026">
        <w:rPr>
          <w:rFonts w:cs="Arial"/>
        </w:rPr>
        <w:lastRenderedPageBreak/>
        <w:t>the events</w:t>
      </w:r>
      <w:r w:rsidRPr="006F780F">
        <w:rPr>
          <w:rFonts w:cs="Arial"/>
          <w:highlight w:val="yellow"/>
        </w:rPr>
        <w:t>.</w:t>
      </w:r>
      <w:r w:rsidR="00CD7B5C" w:rsidRPr="006F780F">
        <w:rPr>
          <w:rFonts w:cs="Arial"/>
          <w:highlight w:val="yellow"/>
        </w:rPr>
        <w:t xml:space="preserve"> </w:t>
      </w:r>
      <w:r w:rsidR="006F780F" w:rsidRPr="006F780F">
        <w:rPr>
          <w:rFonts w:cs="Arial"/>
          <w:highlight w:val="yellow"/>
        </w:rPr>
        <w:t>Extending the use of the ICFA protocol to all sampled events</w:t>
      </w:r>
      <w:r w:rsidR="00CD7B5C" w:rsidRPr="00471026">
        <w:rPr>
          <w:rFonts w:cs="Arial"/>
        </w:rPr>
        <w:t xml:space="preserve">, will allow the discovery of critical aspects for the safety of HRSs. </w:t>
      </w:r>
    </w:p>
    <w:p w14:paraId="2EE3DDA1" w14:textId="03FE0E5E" w:rsidR="00CF5C56" w:rsidRPr="00471026" w:rsidRDefault="00D238C3" w:rsidP="00CF5C56">
      <w:pPr>
        <w:rPr>
          <w:rFonts w:cs="Arial"/>
        </w:rPr>
      </w:pPr>
      <w:r w:rsidRPr="00471026">
        <w:rPr>
          <w:rFonts w:cs="Arial"/>
        </w:rPr>
        <w:t xml:space="preserve">As </w:t>
      </w:r>
      <w:r w:rsidR="00795DF1" w:rsidRPr="00471026">
        <w:rPr>
          <w:rFonts w:cs="Arial"/>
        </w:rPr>
        <w:t xml:space="preserve">a potential limitation, it should be stated that the </w:t>
      </w:r>
      <w:r w:rsidR="00795DF1" w:rsidRPr="006F780F">
        <w:rPr>
          <w:rFonts w:cs="Arial"/>
          <w:highlight w:val="yellow"/>
        </w:rPr>
        <w:t>protocol</w:t>
      </w:r>
      <w:r w:rsidR="006F780F" w:rsidRPr="006F780F">
        <w:rPr>
          <w:rFonts w:cs="Arial"/>
          <w:highlight w:val="yellow"/>
        </w:rPr>
        <w:t>’s</w:t>
      </w:r>
      <w:r w:rsidR="00795DF1" w:rsidRPr="00471026">
        <w:rPr>
          <w:rFonts w:cs="Arial"/>
        </w:rPr>
        <w:t xml:space="preserve"> application </w:t>
      </w:r>
      <w:r w:rsidR="00F1376F" w:rsidRPr="00F1376F">
        <w:rPr>
          <w:rFonts w:cs="Arial"/>
          <w:highlight w:val="yellow"/>
        </w:rPr>
        <w:t>relies</w:t>
      </w:r>
      <w:r w:rsidR="00795DF1" w:rsidRPr="00471026">
        <w:rPr>
          <w:rFonts w:cs="Arial"/>
        </w:rPr>
        <w:t xml:space="preserve"> on the quality and quantity of the</w:t>
      </w:r>
      <w:r w:rsidR="0056207B" w:rsidRPr="00471026">
        <w:rPr>
          <w:rFonts w:cs="Arial"/>
        </w:rPr>
        <w:t xml:space="preserve"> available</w:t>
      </w:r>
      <w:r w:rsidR="00795DF1" w:rsidRPr="00471026">
        <w:rPr>
          <w:rFonts w:cs="Arial"/>
        </w:rPr>
        <w:t xml:space="preserve"> information. </w:t>
      </w:r>
      <w:r w:rsidR="0056207B" w:rsidRPr="00471026">
        <w:rPr>
          <w:rFonts w:cs="Arial"/>
        </w:rPr>
        <w:t>In some cases, the event information is of high quality but</w:t>
      </w:r>
      <w:r w:rsidR="00574DEF">
        <w:rPr>
          <w:rFonts w:cs="Arial"/>
        </w:rPr>
        <w:t>,</w:t>
      </w:r>
      <w:r w:rsidR="0056207B" w:rsidRPr="00471026">
        <w:rPr>
          <w:rFonts w:cs="Arial"/>
        </w:rPr>
        <w:t xml:space="preserve"> in others</w:t>
      </w:r>
      <w:r w:rsidR="00574DEF">
        <w:rPr>
          <w:rFonts w:cs="Arial"/>
        </w:rPr>
        <w:t>,</w:t>
      </w:r>
      <w:r w:rsidR="0056207B" w:rsidRPr="00471026">
        <w:rPr>
          <w:rFonts w:cs="Arial"/>
        </w:rPr>
        <w:t xml:space="preserve"> the information is very synthetic, with limited information about the causal sequence or the different factors involved.</w:t>
      </w:r>
    </w:p>
    <w:p w14:paraId="459D05E6" w14:textId="77777777" w:rsidR="00600535" w:rsidRPr="00471026" w:rsidRDefault="00600535" w:rsidP="00600535">
      <w:pPr>
        <w:pStyle w:val="CETAcknowledgementstitle"/>
        <w:rPr>
          <w:rFonts w:cs="Arial"/>
        </w:rPr>
      </w:pPr>
      <w:r w:rsidRPr="00471026">
        <w:rPr>
          <w:rFonts w:cs="Arial"/>
        </w:rPr>
        <w:t>Acknowledgments</w:t>
      </w:r>
    </w:p>
    <w:p w14:paraId="51183D31" w14:textId="77777777" w:rsidR="00FC0B6C" w:rsidRPr="00471026" w:rsidRDefault="00FC0B6C" w:rsidP="00FC0B6C">
      <w:pPr>
        <w:pStyle w:val="CETBodytext"/>
        <w:rPr>
          <w:rFonts w:cs="Arial"/>
          <w:lang w:val="en-GB"/>
        </w:rPr>
      </w:pPr>
      <w:r w:rsidRPr="00471026">
        <w:rPr>
          <w:rFonts w:cs="Arial"/>
          <w:lang w:val="en-GB"/>
        </w:rPr>
        <w:t>This work was supported by AEI Grant Number PCI2022-132997, Spain, through the European Interest Group (EIG) CONCERT-Japan platform (Grant Number 334340).</w:t>
      </w:r>
    </w:p>
    <w:p w14:paraId="4F1327F8" w14:textId="77777777" w:rsidR="00600535" w:rsidRPr="00D93A63" w:rsidRDefault="00600535" w:rsidP="00600535">
      <w:pPr>
        <w:pStyle w:val="CETReference"/>
        <w:rPr>
          <w:rFonts w:cs="Arial"/>
          <w:lang w:val="es-ES"/>
        </w:rPr>
      </w:pPr>
      <w:r w:rsidRPr="00D93A63">
        <w:rPr>
          <w:rFonts w:cs="Arial"/>
          <w:lang w:val="es-ES"/>
        </w:rPr>
        <w:t>References</w:t>
      </w:r>
    </w:p>
    <w:p w14:paraId="20904E0F" w14:textId="5B28AE08" w:rsidR="00DD779D" w:rsidRPr="00F1376F" w:rsidRDefault="00CF3FD6" w:rsidP="00DD779D">
      <w:pPr>
        <w:widowControl w:val="0"/>
        <w:autoSpaceDE w:val="0"/>
        <w:autoSpaceDN w:val="0"/>
        <w:adjustRightInd w:val="0"/>
        <w:spacing w:line="240" w:lineRule="auto"/>
        <w:ind w:left="480" w:hanging="480"/>
        <w:rPr>
          <w:rFonts w:cs="Arial"/>
          <w:noProof/>
          <w:szCs w:val="24"/>
          <w:lang w:val="es-ES"/>
        </w:rPr>
      </w:pPr>
      <w:r w:rsidRPr="00471026">
        <w:rPr>
          <w:rFonts w:cs="Arial"/>
        </w:rPr>
        <w:fldChar w:fldCharType="begin" w:fldLock="1"/>
      </w:r>
      <w:r w:rsidRPr="00D93A63">
        <w:rPr>
          <w:rFonts w:cs="Arial"/>
          <w:lang w:val="es-ES"/>
        </w:rPr>
        <w:instrText xml:space="preserve">ADDIN Mendeley Bibliography CSL_BIBLIOGRAPHY </w:instrText>
      </w:r>
      <w:r w:rsidRPr="00471026">
        <w:rPr>
          <w:rFonts w:cs="Arial"/>
        </w:rPr>
        <w:fldChar w:fldCharType="separate"/>
      </w:r>
      <w:r w:rsidR="00DD779D" w:rsidRPr="00F1376F">
        <w:rPr>
          <w:rFonts w:cs="Arial"/>
          <w:noProof/>
          <w:szCs w:val="24"/>
          <w:lang w:val="es-ES"/>
        </w:rPr>
        <w:t xml:space="preserve">Apostolou, D., Xydis, G., 2019. </w:t>
      </w:r>
      <w:r w:rsidR="00DD779D" w:rsidRPr="00DD779D">
        <w:rPr>
          <w:rFonts w:cs="Arial"/>
          <w:noProof/>
          <w:szCs w:val="24"/>
        </w:rPr>
        <w:t xml:space="preserve">A literature review on hydrogen refuelling stations and infrastructure. Current status and future prospects. </w:t>
      </w:r>
      <w:r w:rsidR="00DD779D" w:rsidRPr="00F1376F">
        <w:rPr>
          <w:rFonts w:cs="Arial"/>
          <w:noProof/>
          <w:szCs w:val="24"/>
          <w:lang w:val="es-ES"/>
        </w:rPr>
        <w:t>Renew. Sustain. Energy Rev. https://doi.org/10.1016/j.rser.2019.109292</w:t>
      </w:r>
    </w:p>
    <w:p w14:paraId="5B0F5B95"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F1376F">
        <w:rPr>
          <w:rFonts w:cs="Arial"/>
          <w:noProof/>
          <w:szCs w:val="24"/>
          <w:lang w:val="es-ES"/>
        </w:rPr>
        <w:t xml:space="preserve">Campari, A., Nakhal Akel, A.J., Ustolin, F., Alvaro, A., Ledda, A., Agnello, P., Moretto, P., Patriarca, R., Paltrinieri, N., 2023. </w:t>
      </w:r>
      <w:r w:rsidRPr="00DD779D">
        <w:rPr>
          <w:rFonts w:cs="Arial"/>
          <w:noProof/>
          <w:szCs w:val="24"/>
        </w:rPr>
        <w:t>Lessons learned from HIAD 2.0: Inspection and maintenance to avoid hydrogen-induced material failures. Comput. Chem. Eng. 173. https://doi.org/10.1016/j.compchemeng.2023.108199</w:t>
      </w:r>
    </w:p>
    <w:p w14:paraId="77393D90"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Castiglia, F., Giardina, M., 2013. Analysis of operator human errors in hydrogen refuelling stations: Comparison between human rate assessment techniques. Int. J. Hydrogen Energy 38, 1166–1176. https://doi.org/10.1016/j.ijhydene.2012.10.092</w:t>
      </w:r>
    </w:p>
    <w:p w14:paraId="69FBC6BB"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CCPS (Center for Chemical Process Safety), 2019. Guidelines for Investigating Process Safety Incidents, 3rd edition. ed. Wiley Professional, Reference &amp; Trade, New York.</w:t>
      </w:r>
    </w:p>
    <w:p w14:paraId="7B03D2DD"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de Oliveira, U.R., dos Santos, C.O., Chaves, G.E.L., Fernandes, V.A., 2022. Analysis of the MORT method applicability for risk management in supply chains. Oper. Manag. Res. 15, 1361–1382. https://doi.org/10.1007/s12063-021-00248-2</w:t>
      </w:r>
    </w:p>
    <w:p w14:paraId="5CBD6DCE"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Kingston, J., Koornneef, F., Ruilt, J.V., Frei, R., Schallier, P., 2009. User’s Manual: for use with the management oversight and risk tree analytical logic diagram, Second Edi. ed. The Noordwijk Risk Initiative Foundation.</w:t>
      </w:r>
    </w:p>
    <w:p w14:paraId="6A2A6C0C"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Kletz, T.A., Amyotte, P., 2010. Process Plants: A Handbook for Inherently Safer Design, Second Edition. ed. CRC Press.</w:t>
      </w:r>
    </w:p>
    <w:p w14:paraId="787FFDFE"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Lam, C.Y., Fuse, M., Shimizu, T., 2019. Assessment of risk factors and effects in hydrogen logistics incidents from a network modeling perspective. Int. J. Hydrogen Energy 44, 20572–20586. https://doi.org/10.1016/j.ijhydene.2019.05.187</w:t>
      </w:r>
    </w:p>
    <w:p w14:paraId="61400038"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Livingston, A.D., Jackson, G., Priestley, K., Great Britain. Health and Safety Executive., 2001. Root causes analysis : literature review. HSE Books.</w:t>
      </w:r>
    </w:p>
    <w:p w14:paraId="6F55436D"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Moradi, R., Groth, K.M., 2019. Hydrogen storage and delivery: Review of the state of the art technologies and risk and reliability analysis. Int. J. Hydrogen Energy. https://doi.org/10.1016/j.ijhydene.2019.03.041</w:t>
      </w:r>
    </w:p>
    <w:p w14:paraId="350899B2"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Pan, X., Li, Z., Zhang, C., Lv, H., Liu, S., Ma, J., 2016. Safety study of a wind–solar hybrid renewable hydrogen refuelling station in China. Int. J. Hydrogen Energy 41, 13315–13321. https://doi.org/10.1016/j.ijhydene.2016.05.180</w:t>
      </w:r>
    </w:p>
    <w:p w14:paraId="25FD0720"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Rasmussen, J., 1997. Risk management in a dynamic society: a modelling problem. Saf. Sci. 27, 183–213. https://doi.org/https://doi.org/10.1016/S0925-7535(97)00052-0</w:t>
      </w:r>
    </w:p>
    <w:p w14:paraId="770718B5" w14:textId="77777777" w:rsidR="00DD779D" w:rsidRPr="00F1376F" w:rsidRDefault="00DD779D" w:rsidP="00DD779D">
      <w:pPr>
        <w:widowControl w:val="0"/>
        <w:autoSpaceDE w:val="0"/>
        <w:autoSpaceDN w:val="0"/>
        <w:adjustRightInd w:val="0"/>
        <w:spacing w:line="240" w:lineRule="auto"/>
        <w:ind w:left="480" w:hanging="480"/>
        <w:rPr>
          <w:rFonts w:cs="Arial"/>
          <w:noProof/>
          <w:szCs w:val="24"/>
          <w:lang w:val="es-ES"/>
        </w:rPr>
      </w:pPr>
      <w:r w:rsidRPr="00DD779D">
        <w:rPr>
          <w:rFonts w:cs="Arial"/>
          <w:noProof/>
          <w:szCs w:val="24"/>
        </w:rPr>
        <w:t xml:space="preserve">Solano, V., Isasia, R., 2017. </w:t>
      </w:r>
      <w:r w:rsidRPr="00F1376F">
        <w:rPr>
          <w:rFonts w:cs="Arial"/>
          <w:noProof/>
          <w:szCs w:val="24"/>
          <w:lang w:val="es-ES"/>
        </w:rPr>
        <w:t>La Metodología de Análisis de Causa Raíz MORT (Management and Oversight Risk Tree). Propuesta de Modernización y Adaptación a la Realidad Española.</w:t>
      </w:r>
    </w:p>
    <w:p w14:paraId="664BDFE6"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F1376F">
        <w:rPr>
          <w:rFonts w:cs="Arial"/>
          <w:noProof/>
          <w:szCs w:val="24"/>
          <w:lang w:val="es-ES"/>
        </w:rPr>
        <w:t xml:space="preserve">Sun, K., Pan, X., Li, Z., Ma, J., 2014. </w:t>
      </w:r>
      <w:r w:rsidRPr="00DD779D">
        <w:rPr>
          <w:rFonts w:cs="Arial"/>
          <w:noProof/>
          <w:szCs w:val="24"/>
        </w:rPr>
        <w:t>Risk analysis on mobile hydrogen refueling stations in Shanghai, in: International Journal of Hydrogen Energy. Elsevier Ltd, pp. 20411–20419. https://doi.org/10.1016/j.ijhydene.2014.07.098</w:t>
      </w:r>
    </w:p>
    <w:p w14:paraId="07D9560C"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Tsunemi, K., Kihara, T., Kato, E., Kawamoto, A., Saburi, T., 2019. Quantitative risk assessment of the interior of a hydrogen refueling station considering safety barrier systems. Int. J. Hydrogen Energy 44, 23522–23531. https://doi.org/10.1016/j.ijhydene.2019.07.027</w:t>
      </w:r>
    </w:p>
    <w:p w14:paraId="37C6B585" w14:textId="77777777" w:rsidR="00DD779D" w:rsidRPr="00DD779D" w:rsidRDefault="00DD779D" w:rsidP="00DD779D">
      <w:pPr>
        <w:widowControl w:val="0"/>
        <w:autoSpaceDE w:val="0"/>
        <w:autoSpaceDN w:val="0"/>
        <w:adjustRightInd w:val="0"/>
        <w:spacing w:line="240" w:lineRule="auto"/>
        <w:ind w:left="480" w:hanging="480"/>
        <w:rPr>
          <w:rFonts w:cs="Arial"/>
          <w:noProof/>
          <w:szCs w:val="24"/>
        </w:rPr>
      </w:pPr>
      <w:r w:rsidRPr="00DD779D">
        <w:rPr>
          <w:rFonts w:cs="Arial"/>
          <w:noProof/>
          <w:szCs w:val="24"/>
        </w:rPr>
        <w:t>Wen, J.X., Marono, M., Moretto, P., Reinecke, E.A., Sathiah, P., Studer, E., Vyazmina, E., Melideo, D., 2022. Statistics, lessons learned and recommendations from analysis of HIAD 2.0 database. Int. J. Hydrogen Energy 47, 17082–17096. https://doi.org/10.1016/j.ijhydene.2022.03.170</w:t>
      </w:r>
    </w:p>
    <w:p w14:paraId="5D2E7AC5" w14:textId="77777777" w:rsidR="00DD779D" w:rsidRPr="00DD779D" w:rsidRDefault="00DD779D" w:rsidP="00DD779D">
      <w:pPr>
        <w:widowControl w:val="0"/>
        <w:autoSpaceDE w:val="0"/>
        <w:autoSpaceDN w:val="0"/>
        <w:adjustRightInd w:val="0"/>
        <w:spacing w:line="240" w:lineRule="auto"/>
        <w:ind w:left="480" w:hanging="480"/>
        <w:rPr>
          <w:rFonts w:cs="Arial"/>
          <w:noProof/>
        </w:rPr>
      </w:pPr>
      <w:r w:rsidRPr="00DD779D">
        <w:rPr>
          <w:rFonts w:cs="Arial"/>
          <w:noProof/>
          <w:szCs w:val="24"/>
        </w:rPr>
        <w:t>Zhiyong, L., Xiangmin, P., Jianxin, M., 2010. Harm effect distances evaluation of severe accidents for gaseous hydrogen refueling station. Int. J. Hydrogen Energy 35, 1515–1521. https://doi.org/10.1016/j.ijhydene.2009.11.081</w:t>
      </w:r>
    </w:p>
    <w:p w14:paraId="5A13856B" w14:textId="3DD8976B" w:rsidR="006B4888" w:rsidRPr="00471026" w:rsidRDefault="00CF3FD6" w:rsidP="00307822">
      <w:pPr>
        <w:pStyle w:val="CETReferencetext"/>
        <w:ind w:left="0" w:firstLine="0"/>
        <w:rPr>
          <w:rFonts w:cs="Arial"/>
        </w:rPr>
      </w:pPr>
      <w:r w:rsidRPr="00471026">
        <w:rPr>
          <w:rFonts w:cs="Arial"/>
        </w:rPr>
        <w:fldChar w:fldCharType="end"/>
      </w:r>
    </w:p>
    <w:sectPr w:rsidR="006B4888" w:rsidRPr="00471026" w:rsidSect="00EF06D9">
      <w:type w:val="continuous"/>
      <w:pgSz w:w="11906" w:h="16838" w:code="9"/>
      <w:pgMar w:top="1701" w:right="1418" w:bottom="1701" w:left="1701" w:header="1701" w:footer="0"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26AF64" w14:textId="77777777" w:rsidR="007176F3" w:rsidRDefault="007176F3" w:rsidP="004F5E36">
      <w:r>
        <w:separator/>
      </w:r>
    </w:p>
  </w:endnote>
  <w:endnote w:type="continuationSeparator" w:id="0">
    <w:p w14:paraId="137BEDE0" w14:textId="77777777" w:rsidR="007176F3" w:rsidRDefault="007176F3" w:rsidP="004F5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BCB967" w14:textId="77777777" w:rsidR="007176F3" w:rsidRDefault="007176F3" w:rsidP="004F5E36">
      <w:r>
        <w:separator/>
      </w:r>
    </w:p>
  </w:footnote>
  <w:footnote w:type="continuationSeparator" w:id="0">
    <w:p w14:paraId="0E1B5C80" w14:textId="77777777" w:rsidR="007176F3" w:rsidRDefault="007176F3" w:rsidP="004F5E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58AF15E"/>
    <w:lvl w:ilvl="0">
      <w:start w:val="1"/>
      <w:numFmt w:val="decimal"/>
      <w:pStyle w:val="Listaconnmeros5"/>
      <w:lvlText w:val="%1."/>
      <w:lvlJc w:val="left"/>
      <w:pPr>
        <w:tabs>
          <w:tab w:val="num" w:pos="1492"/>
        </w:tabs>
        <w:ind w:left="1492" w:hanging="360"/>
      </w:pPr>
    </w:lvl>
  </w:abstractNum>
  <w:abstractNum w:abstractNumId="1" w15:restartNumberingAfterBreak="0">
    <w:nsid w:val="FFFFFF7D"/>
    <w:multiLevelType w:val="singleLevel"/>
    <w:tmpl w:val="65EC884E"/>
    <w:lvl w:ilvl="0">
      <w:start w:val="1"/>
      <w:numFmt w:val="decimal"/>
      <w:pStyle w:val="Listaconnmeros4"/>
      <w:lvlText w:val="%1."/>
      <w:lvlJc w:val="left"/>
      <w:pPr>
        <w:tabs>
          <w:tab w:val="num" w:pos="1209"/>
        </w:tabs>
        <w:ind w:left="1209" w:hanging="360"/>
      </w:pPr>
    </w:lvl>
  </w:abstractNum>
  <w:abstractNum w:abstractNumId="2" w15:restartNumberingAfterBreak="0">
    <w:nsid w:val="FFFFFF7E"/>
    <w:multiLevelType w:val="singleLevel"/>
    <w:tmpl w:val="408CBE96"/>
    <w:lvl w:ilvl="0">
      <w:start w:val="1"/>
      <w:numFmt w:val="decimal"/>
      <w:pStyle w:val="Listaconnmeros3"/>
      <w:lvlText w:val="%1."/>
      <w:lvlJc w:val="left"/>
      <w:pPr>
        <w:tabs>
          <w:tab w:val="num" w:pos="926"/>
        </w:tabs>
        <w:ind w:left="926" w:hanging="360"/>
      </w:pPr>
    </w:lvl>
  </w:abstractNum>
  <w:abstractNum w:abstractNumId="3" w15:restartNumberingAfterBreak="0">
    <w:nsid w:val="FFFFFF7F"/>
    <w:multiLevelType w:val="singleLevel"/>
    <w:tmpl w:val="CFC0B388"/>
    <w:lvl w:ilvl="0">
      <w:start w:val="1"/>
      <w:numFmt w:val="decimal"/>
      <w:pStyle w:val="Listaconnmeros2"/>
      <w:lvlText w:val="%1."/>
      <w:lvlJc w:val="left"/>
      <w:pPr>
        <w:tabs>
          <w:tab w:val="num" w:pos="643"/>
        </w:tabs>
        <w:ind w:left="643" w:hanging="360"/>
      </w:pPr>
    </w:lvl>
  </w:abstractNum>
  <w:abstractNum w:abstractNumId="4" w15:restartNumberingAfterBreak="0">
    <w:nsid w:val="FFFFFF80"/>
    <w:multiLevelType w:val="singleLevel"/>
    <w:tmpl w:val="CA34EB48"/>
    <w:lvl w:ilvl="0">
      <w:start w:val="1"/>
      <w:numFmt w:val="bullet"/>
      <w:pStyle w:val="Listaconvietas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85C6BD6"/>
    <w:lvl w:ilvl="0">
      <w:start w:val="1"/>
      <w:numFmt w:val="bullet"/>
      <w:pStyle w:val="Listaconvietas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87A9968"/>
    <w:lvl w:ilvl="0">
      <w:start w:val="1"/>
      <w:numFmt w:val="bullet"/>
      <w:pStyle w:val="Listaconvietas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D27934"/>
    <w:lvl w:ilvl="0">
      <w:start w:val="1"/>
      <w:numFmt w:val="bullet"/>
      <w:pStyle w:val="Listaconvietas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F4206A"/>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206ACE1A"/>
    <w:lvl w:ilvl="0">
      <w:start w:val="1"/>
      <w:numFmt w:val="bullet"/>
      <w:pStyle w:val="Listaconvietas"/>
      <w:lvlText w:val=""/>
      <w:lvlJc w:val="left"/>
      <w:pPr>
        <w:tabs>
          <w:tab w:val="num" w:pos="360"/>
        </w:tabs>
        <w:ind w:left="360" w:hanging="360"/>
      </w:pPr>
      <w:rPr>
        <w:rFonts w:ascii="Symbol" w:hAnsi="Symbol" w:hint="default"/>
      </w:rPr>
    </w:lvl>
  </w:abstractNum>
  <w:abstractNum w:abstractNumId="10" w15:restartNumberingAfterBreak="0">
    <w:nsid w:val="2438217E"/>
    <w:multiLevelType w:val="multilevel"/>
    <w:tmpl w:val="F17228D6"/>
    <w:lvl w:ilvl="0">
      <w:start w:val="1"/>
      <w:numFmt w:val="decimal"/>
      <w:suff w:val="space"/>
      <w:lvlText w:val="Chapter %1"/>
      <w:lvlJc w:val="left"/>
      <w:pPr>
        <w:ind w:left="0" w:firstLine="0"/>
      </w:pPr>
      <w:rPr>
        <w:rFonts w:hint="default"/>
      </w:rPr>
    </w:lvl>
    <w:lvl w:ilvl="1">
      <w:start w:val="1"/>
      <w:numFmt w:val="decimal"/>
      <w:pStyle w:val="CETHeading1"/>
      <w:suff w:val="space"/>
      <w:lvlText w:val="%2."/>
      <w:lvlJc w:val="left"/>
      <w:pPr>
        <w:ind w:left="0" w:firstLine="0"/>
      </w:pPr>
      <w:rPr>
        <w:rFonts w:hint="default"/>
      </w:rPr>
    </w:lvl>
    <w:lvl w:ilvl="2">
      <w:start w:val="1"/>
      <w:numFmt w:val="decimal"/>
      <w:pStyle w:val="CETheadingx"/>
      <w:suff w:val="space"/>
      <w:lvlText w:val="%2.%3"/>
      <w:lvlJc w:val="left"/>
      <w:pPr>
        <w:ind w:left="0" w:firstLine="0"/>
      </w:pPr>
      <w:rPr>
        <w:rFonts w:hint="default"/>
      </w:rPr>
    </w:lvl>
    <w:lvl w:ilvl="3">
      <w:start w:val="1"/>
      <w:numFmt w:val="decimal"/>
      <w:pStyle w:val="Tablabsica1"/>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1" w15:restartNumberingAfterBreak="0">
    <w:nsid w:val="330B7370"/>
    <w:multiLevelType w:val="hybridMultilevel"/>
    <w:tmpl w:val="12E2AD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351E0394"/>
    <w:multiLevelType w:val="hybridMultilevel"/>
    <w:tmpl w:val="806658E2"/>
    <w:lvl w:ilvl="0" w:tplc="14B0F7A8">
      <w:start w:val="1"/>
      <w:numFmt w:val="bullet"/>
      <w:pStyle w:val="CETnumberingbullets"/>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9C329B9"/>
    <w:multiLevelType w:val="hybridMultilevel"/>
    <w:tmpl w:val="A2E6C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B100E8"/>
    <w:multiLevelType w:val="hybridMultilevel"/>
    <w:tmpl w:val="6F34C070"/>
    <w:lvl w:ilvl="0" w:tplc="14090011">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5" w15:restartNumberingAfterBreak="0">
    <w:nsid w:val="42F62CC5"/>
    <w:multiLevelType w:val="hybridMultilevel"/>
    <w:tmpl w:val="5C5EEA74"/>
    <w:lvl w:ilvl="0" w:tplc="CEF4F31A">
      <w:numFmt w:val="bullet"/>
      <w:lvlText w:val="-"/>
      <w:lvlJc w:val="left"/>
      <w:pPr>
        <w:ind w:left="720" w:hanging="360"/>
      </w:pPr>
      <w:rPr>
        <w:rFonts w:ascii="Calibri" w:eastAsia="Times New Roman"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0A87BA7"/>
    <w:multiLevelType w:val="hybridMultilevel"/>
    <w:tmpl w:val="1F6A8AD4"/>
    <w:lvl w:ilvl="0" w:tplc="14B0F7A8">
      <w:start w:val="1"/>
      <w:numFmt w:val="bullet"/>
      <w:lvlText w:val=""/>
      <w:lvlJc w:val="left"/>
      <w:pPr>
        <w:ind w:left="340" w:hanging="227"/>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2217387"/>
    <w:multiLevelType w:val="hybridMultilevel"/>
    <w:tmpl w:val="C2AE185A"/>
    <w:lvl w:ilvl="0" w:tplc="14090011">
      <w:start w:val="1"/>
      <w:numFmt w:val="decimal"/>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9" w15:restartNumberingAfterBreak="0">
    <w:nsid w:val="5AD311D0"/>
    <w:multiLevelType w:val="hybridMultilevel"/>
    <w:tmpl w:val="F198FF08"/>
    <w:lvl w:ilvl="0" w:tplc="62EA088C">
      <w:start w:val="1"/>
      <w:numFmt w:val="decimal"/>
      <w:pStyle w:val="CETnumbering1"/>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62015B5"/>
    <w:multiLevelType w:val="hybridMultilevel"/>
    <w:tmpl w:val="CCDE09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15:restartNumberingAfterBreak="0">
    <w:nsid w:val="6865266D"/>
    <w:multiLevelType w:val="hybridMultilevel"/>
    <w:tmpl w:val="F5BE3C4A"/>
    <w:lvl w:ilvl="0" w:tplc="9FC4D28C">
      <w:start w:val="1"/>
      <w:numFmt w:val="lowerLetter"/>
      <w:pStyle w:val="CETnumberinga"/>
      <w:lvlText w:val="%1."/>
      <w:lvlJc w:val="left"/>
      <w:pPr>
        <w:ind w:left="340" w:hanging="227"/>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3"/>
  </w:num>
  <w:num w:numId="4">
    <w:abstractNumId w:val="2"/>
  </w:num>
  <w:num w:numId="5">
    <w:abstractNumId w:val="1"/>
  </w:num>
  <w:num w:numId="6">
    <w:abstractNumId w:val="0"/>
  </w:num>
  <w:num w:numId="7">
    <w:abstractNumId w:val="9"/>
  </w:num>
  <w:num w:numId="8">
    <w:abstractNumId w:val="7"/>
  </w:num>
  <w:num w:numId="9">
    <w:abstractNumId w:val="6"/>
  </w:num>
  <w:num w:numId="10">
    <w:abstractNumId w:val="5"/>
  </w:num>
  <w:num w:numId="11">
    <w:abstractNumId w:val="4"/>
  </w:num>
  <w:num w:numId="12">
    <w:abstractNumId w:val="18"/>
  </w:num>
  <w:num w:numId="13">
    <w:abstractNumId w:val="12"/>
  </w:num>
  <w:num w:numId="14">
    <w:abstractNumId w:val="19"/>
  </w:num>
  <w:num w:numId="15">
    <w:abstractNumId w:val="21"/>
  </w:num>
  <w:num w:numId="16">
    <w:abstractNumId w:val="20"/>
  </w:num>
  <w:num w:numId="17">
    <w:abstractNumId w:val="11"/>
  </w:num>
  <w:num w:numId="18">
    <w:abstractNumId w:val="12"/>
    <w:lvlOverride w:ilvl="0">
      <w:startOverride w:val="1"/>
    </w:lvlOverride>
  </w:num>
  <w:num w:numId="19">
    <w:abstractNumId w:val="17"/>
  </w:num>
  <w:num w:numId="20">
    <w:abstractNumId w:val="16"/>
  </w:num>
  <w:num w:numId="21">
    <w:abstractNumId w:val="14"/>
  </w:num>
  <w:num w:numId="22">
    <w:abstractNumId w:val="13"/>
  </w:num>
  <w:num w:numId="23">
    <w:abstractNumId w:val="15"/>
  </w:num>
  <w:num w:numId="24">
    <w:abstractNumId w:val="10"/>
  </w:num>
  <w:num w:numId="25">
    <w:abstractNumId w:val="10"/>
  </w:num>
  <w:num w:numId="26">
    <w:abstractNumId w:val="10"/>
  </w:num>
  <w:num w:numId="27">
    <w:abstractNumId w:val="10"/>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bordersDoNotSurroundHeader/>
  <w:bordersDoNotSurroundFooter/>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cumentProtection w:edit="forms" w:enforcement="0"/>
  <w:autoFormatOverride/>
  <w:styleLockTheme/>
  <w:styleLockQFSet/>
  <w:defaultTabStop w:val="708"/>
  <w:hyphenationZone w:val="283"/>
  <w:clickAndTypeStyle w:val="CETBodytext"/>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I0NzezsDA3M7MwMTJW0lEKTi0uzszPAymwrAUAugS3IywAAAA="/>
  </w:docVars>
  <w:rsids>
    <w:rsidRoot w:val="000E414A"/>
    <w:rsid w:val="000027C0"/>
    <w:rsid w:val="000052FB"/>
    <w:rsid w:val="00005A19"/>
    <w:rsid w:val="000117CB"/>
    <w:rsid w:val="0003148D"/>
    <w:rsid w:val="00031EEC"/>
    <w:rsid w:val="00033F15"/>
    <w:rsid w:val="000361C1"/>
    <w:rsid w:val="00044AF4"/>
    <w:rsid w:val="00051566"/>
    <w:rsid w:val="00052866"/>
    <w:rsid w:val="00054288"/>
    <w:rsid w:val="000562A9"/>
    <w:rsid w:val="00062A9A"/>
    <w:rsid w:val="00065058"/>
    <w:rsid w:val="000709A4"/>
    <w:rsid w:val="00086C39"/>
    <w:rsid w:val="000A03B2"/>
    <w:rsid w:val="000D0268"/>
    <w:rsid w:val="000D11E3"/>
    <w:rsid w:val="000D34BE"/>
    <w:rsid w:val="000E102F"/>
    <w:rsid w:val="000E36F1"/>
    <w:rsid w:val="000E3A73"/>
    <w:rsid w:val="000E3D1E"/>
    <w:rsid w:val="000E414A"/>
    <w:rsid w:val="000F093C"/>
    <w:rsid w:val="000F4995"/>
    <w:rsid w:val="000F787B"/>
    <w:rsid w:val="000F7A8F"/>
    <w:rsid w:val="00104A18"/>
    <w:rsid w:val="00107736"/>
    <w:rsid w:val="00110B9B"/>
    <w:rsid w:val="001119A9"/>
    <w:rsid w:val="0012041F"/>
    <w:rsid w:val="0012091F"/>
    <w:rsid w:val="0012137E"/>
    <w:rsid w:val="00126BC2"/>
    <w:rsid w:val="001308B6"/>
    <w:rsid w:val="0013121F"/>
    <w:rsid w:val="00131FE6"/>
    <w:rsid w:val="0013263F"/>
    <w:rsid w:val="001331DF"/>
    <w:rsid w:val="00134DE4"/>
    <w:rsid w:val="0014034D"/>
    <w:rsid w:val="00142634"/>
    <w:rsid w:val="00144D16"/>
    <w:rsid w:val="00150E59"/>
    <w:rsid w:val="00152DE3"/>
    <w:rsid w:val="00152E4D"/>
    <w:rsid w:val="0015362F"/>
    <w:rsid w:val="00164CF9"/>
    <w:rsid w:val="001667A6"/>
    <w:rsid w:val="00167B18"/>
    <w:rsid w:val="00181BA3"/>
    <w:rsid w:val="00184AD6"/>
    <w:rsid w:val="00186AC7"/>
    <w:rsid w:val="001924C5"/>
    <w:rsid w:val="0019655B"/>
    <w:rsid w:val="001A4AF7"/>
    <w:rsid w:val="001B0349"/>
    <w:rsid w:val="001B1E93"/>
    <w:rsid w:val="001B65C1"/>
    <w:rsid w:val="001C31BF"/>
    <w:rsid w:val="001C684B"/>
    <w:rsid w:val="001D0CFB"/>
    <w:rsid w:val="001D21AF"/>
    <w:rsid w:val="001D53FC"/>
    <w:rsid w:val="001E6545"/>
    <w:rsid w:val="001F42A5"/>
    <w:rsid w:val="001F794A"/>
    <w:rsid w:val="001F7B9D"/>
    <w:rsid w:val="00201C93"/>
    <w:rsid w:val="00211B6F"/>
    <w:rsid w:val="002129BA"/>
    <w:rsid w:val="00222319"/>
    <w:rsid w:val="002224B4"/>
    <w:rsid w:val="00236A05"/>
    <w:rsid w:val="002447EF"/>
    <w:rsid w:val="00251550"/>
    <w:rsid w:val="00254ED4"/>
    <w:rsid w:val="0025684D"/>
    <w:rsid w:val="002617F3"/>
    <w:rsid w:val="00263B05"/>
    <w:rsid w:val="00270B53"/>
    <w:rsid w:val="0027221A"/>
    <w:rsid w:val="002724DD"/>
    <w:rsid w:val="002749CC"/>
    <w:rsid w:val="00275B61"/>
    <w:rsid w:val="00280FAF"/>
    <w:rsid w:val="00282656"/>
    <w:rsid w:val="00296B83"/>
    <w:rsid w:val="002B4015"/>
    <w:rsid w:val="002B78CE"/>
    <w:rsid w:val="002C2FB6"/>
    <w:rsid w:val="002C7707"/>
    <w:rsid w:val="002E5FA7"/>
    <w:rsid w:val="002F3309"/>
    <w:rsid w:val="002F6743"/>
    <w:rsid w:val="003008CE"/>
    <w:rsid w:val="003009B7"/>
    <w:rsid w:val="00300E56"/>
    <w:rsid w:val="00300FC8"/>
    <w:rsid w:val="0030152C"/>
    <w:rsid w:val="0030469C"/>
    <w:rsid w:val="00307822"/>
    <w:rsid w:val="003213C1"/>
    <w:rsid w:val="00321CA6"/>
    <w:rsid w:val="00322CF0"/>
    <w:rsid w:val="00323763"/>
    <w:rsid w:val="00323C5F"/>
    <w:rsid w:val="00334C09"/>
    <w:rsid w:val="00337635"/>
    <w:rsid w:val="00342304"/>
    <w:rsid w:val="00346EA1"/>
    <w:rsid w:val="00351425"/>
    <w:rsid w:val="0036151E"/>
    <w:rsid w:val="00361F6D"/>
    <w:rsid w:val="003723D4"/>
    <w:rsid w:val="00381905"/>
    <w:rsid w:val="00384CC8"/>
    <w:rsid w:val="003871FD"/>
    <w:rsid w:val="0039071E"/>
    <w:rsid w:val="003A1E30"/>
    <w:rsid w:val="003A2829"/>
    <w:rsid w:val="003A50BD"/>
    <w:rsid w:val="003A7D1C"/>
    <w:rsid w:val="003B304B"/>
    <w:rsid w:val="003B3146"/>
    <w:rsid w:val="003B3CC3"/>
    <w:rsid w:val="003C3521"/>
    <w:rsid w:val="003D3905"/>
    <w:rsid w:val="003D6749"/>
    <w:rsid w:val="003F015E"/>
    <w:rsid w:val="003F4FA0"/>
    <w:rsid w:val="00400414"/>
    <w:rsid w:val="004049BA"/>
    <w:rsid w:val="00404BFB"/>
    <w:rsid w:val="00405A42"/>
    <w:rsid w:val="00405DE9"/>
    <w:rsid w:val="004122F4"/>
    <w:rsid w:val="0041446B"/>
    <w:rsid w:val="00433988"/>
    <w:rsid w:val="0044000F"/>
    <w:rsid w:val="0044071E"/>
    <w:rsid w:val="0044329C"/>
    <w:rsid w:val="00447CCE"/>
    <w:rsid w:val="00453485"/>
    <w:rsid w:val="00453E24"/>
    <w:rsid w:val="00457456"/>
    <w:rsid w:val="004577FE"/>
    <w:rsid w:val="00457B9C"/>
    <w:rsid w:val="0046164A"/>
    <w:rsid w:val="004628D2"/>
    <w:rsid w:val="00462DCD"/>
    <w:rsid w:val="004648AD"/>
    <w:rsid w:val="004703A9"/>
    <w:rsid w:val="00471026"/>
    <w:rsid w:val="004760DE"/>
    <w:rsid w:val="004763D7"/>
    <w:rsid w:val="00482E68"/>
    <w:rsid w:val="00486025"/>
    <w:rsid w:val="00490F4B"/>
    <w:rsid w:val="004A004E"/>
    <w:rsid w:val="004A24CF"/>
    <w:rsid w:val="004A37C6"/>
    <w:rsid w:val="004B407A"/>
    <w:rsid w:val="004C0CD2"/>
    <w:rsid w:val="004C3D1D"/>
    <w:rsid w:val="004C3D84"/>
    <w:rsid w:val="004C7913"/>
    <w:rsid w:val="004E4DD6"/>
    <w:rsid w:val="004F41A1"/>
    <w:rsid w:val="004F4250"/>
    <w:rsid w:val="004F5E36"/>
    <w:rsid w:val="00507B47"/>
    <w:rsid w:val="00507BEF"/>
    <w:rsid w:val="00507CC9"/>
    <w:rsid w:val="00507FF6"/>
    <w:rsid w:val="005119A5"/>
    <w:rsid w:val="0052384F"/>
    <w:rsid w:val="005278B7"/>
    <w:rsid w:val="005279B3"/>
    <w:rsid w:val="00532016"/>
    <w:rsid w:val="005346C8"/>
    <w:rsid w:val="00543E7D"/>
    <w:rsid w:val="00547A68"/>
    <w:rsid w:val="005531C9"/>
    <w:rsid w:val="00557E00"/>
    <w:rsid w:val="0056207B"/>
    <w:rsid w:val="00570C43"/>
    <w:rsid w:val="00572774"/>
    <w:rsid w:val="00574DEF"/>
    <w:rsid w:val="00596570"/>
    <w:rsid w:val="00596730"/>
    <w:rsid w:val="005B0273"/>
    <w:rsid w:val="005B2110"/>
    <w:rsid w:val="005B61E6"/>
    <w:rsid w:val="005C229F"/>
    <w:rsid w:val="005C283E"/>
    <w:rsid w:val="005C6478"/>
    <w:rsid w:val="005C77E1"/>
    <w:rsid w:val="005D668A"/>
    <w:rsid w:val="005D6A2F"/>
    <w:rsid w:val="005E1A82"/>
    <w:rsid w:val="005E794C"/>
    <w:rsid w:val="005F0A28"/>
    <w:rsid w:val="005F0E5E"/>
    <w:rsid w:val="00600535"/>
    <w:rsid w:val="00607F79"/>
    <w:rsid w:val="00610CD6"/>
    <w:rsid w:val="006144A6"/>
    <w:rsid w:val="00620DEE"/>
    <w:rsid w:val="00621F92"/>
    <w:rsid w:val="0062280A"/>
    <w:rsid w:val="00625639"/>
    <w:rsid w:val="00631235"/>
    <w:rsid w:val="00631B33"/>
    <w:rsid w:val="006412B9"/>
    <w:rsid w:val="0064184D"/>
    <w:rsid w:val="006422CC"/>
    <w:rsid w:val="00646162"/>
    <w:rsid w:val="00660E3E"/>
    <w:rsid w:val="00662E74"/>
    <w:rsid w:val="00664008"/>
    <w:rsid w:val="00673A54"/>
    <w:rsid w:val="00680082"/>
    <w:rsid w:val="00680C23"/>
    <w:rsid w:val="00682284"/>
    <w:rsid w:val="0069369A"/>
    <w:rsid w:val="00693766"/>
    <w:rsid w:val="006A3281"/>
    <w:rsid w:val="006A42DD"/>
    <w:rsid w:val="006B4888"/>
    <w:rsid w:val="006C2E45"/>
    <w:rsid w:val="006C359C"/>
    <w:rsid w:val="006C5579"/>
    <w:rsid w:val="006D6E8B"/>
    <w:rsid w:val="006E737D"/>
    <w:rsid w:val="006F103B"/>
    <w:rsid w:val="006F2DB2"/>
    <w:rsid w:val="006F4083"/>
    <w:rsid w:val="006F65E8"/>
    <w:rsid w:val="006F780F"/>
    <w:rsid w:val="00704505"/>
    <w:rsid w:val="00707DD1"/>
    <w:rsid w:val="00713973"/>
    <w:rsid w:val="007176F3"/>
    <w:rsid w:val="00720A24"/>
    <w:rsid w:val="00730881"/>
    <w:rsid w:val="00732386"/>
    <w:rsid w:val="007338AE"/>
    <w:rsid w:val="0073514D"/>
    <w:rsid w:val="007356F0"/>
    <w:rsid w:val="00735844"/>
    <w:rsid w:val="007447F3"/>
    <w:rsid w:val="007511C2"/>
    <w:rsid w:val="007545BE"/>
    <w:rsid w:val="0075499F"/>
    <w:rsid w:val="007609F9"/>
    <w:rsid w:val="0076472F"/>
    <w:rsid w:val="007661C8"/>
    <w:rsid w:val="0077098D"/>
    <w:rsid w:val="00771DF3"/>
    <w:rsid w:val="0077320C"/>
    <w:rsid w:val="00792525"/>
    <w:rsid w:val="007931FA"/>
    <w:rsid w:val="00795DF1"/>
    <w:rsid w:val="007A4861"/>
    <w:rsid w:val="007A7BBA"/>
    <w:rsid w:val="007B0C50"/>
    <w:rsid w:val="007B48F9"/>
    <w:rsid w:val="007C1A43"/>
    <w:rsid w:val="007D0243"/>
    <w:rsid w:val="007D0951"/>
    <w:rsid w:val="007E0611"/>
    <w:rsid w:val="0080013E"/>
    <w:rsid w:val="00810652"/>
    <w:rsid w:val="00813288"/>
    <w:rsid w:val="008168FC"/>
    <w:rsid w:val="008169A3"/>
    <w:rsid w:val="0082733E"/>
    <w:rsid w:val="00830996"/>
    <w:rsid w:val="008345F1"/>
    <w:rsid w:val="00865B07"/>
    <w:rsid w:val="008667EA"/>
    <w:rsid w:val="0087637F"/>
    <w:rsid w:val="00892AD5"/>
    <w:rsid w:val="008938A6"/>
    <w:rsid w:val="008A1512"/>
    <w:rsid w:val="008A62DC"/>
    <w:rsid w:val="008B73A7"/>
    <w:rsid w:val="008C526D"/>
    <w:rsid w:val="008D32B9"/>
    <w:rsid w:val="008D433B"/>
    <w:rsid w:val="008D4A16"/>
    <w:rsid w:val="008E566E"/>
    <w:rsid w:val="008E5FA8"/>
    <w:rsid w:val="0090161A"/>
    <w:rsid w:val="00901EB6"/>
    <w:rsid w:val="00904C62"/>
    <w:rsid w:val="00907ED7"/>
    <w:rsid w:val="00922BA8"/>
    <w:rsid w:val="00923A55"/>
    <w:rsid w:val="00924DAC"/>
    <w:rsid w:val="00927058"/>
    <w:rsid w:val="00942750"/>
    <w:rsid w:val="00944FE1"/>
    <w:rsid w:val="009450CE"/>
    <w:rsid w:val="009459BB"/>
    <w:rsid w:val="00947179"/>
    <w:rsid w:val="0095164B"/>
    <w:rsid w:val="00954090"/>
    <w:rsid w:val="009573E7"/>
    <w:rsid w:val="00963E05"/>
    <w:rsid w:val="00964A45"/>
    <w:rsid w:val="00967843"/>
    <w:rsid w:val="00967D54"/>
    <w:rsid w:val="00971028"/>
    <w:rsid w:val="00975FCE"/>
    <w:rsid w:val="00987434"/>
    <w:rsid w:val="00993B84"/>
    <w:rsid w:val="00996483"/>
    <w:rsid w:val="00996F5A"/>
    <w:rsid w:val="009A0701"/>
    <w:rsid w:val="009A2F2C"/>
    <w:rsid w:val="009B041A"/>
    <w:rsid w:val="009B322F"/>
    <w:rsid w:val="009B4641"/>
    <w:rsid w:val="009C37C3"/>
    <w:rsid w:val="009C7C86"/>
    <w:rsid w:val="009D2FF7"/>
    <w:rsid w:val="009E42EB"/>
    <w:rsid w:val="009E7884"/>
    <w:rsid w:val="009E788A"/>
    <w:rsid w:val="009F0E08"/>
    <w:rsid w:val="00A1096C"/>
    <w:rsid w:val="00A1763D"/>
    <w:rsid w:val="00A17CEC"/>
    <w:rsid w:val="00A21FE2"/>
    <w:rsid w:val="00A27EF0"/>
    <w:rsid w:val="00A32874"/>
    <w:rsid w:val="00A35502"/>
    <w:rsid w:val="00A37977"/>
    <w:rsid w:val="00A42361"/>
    <w:rsid w:val="00A43F7B"/>
    <w:rsid w:val="00A45D9B"/>
    <w:rsid w:val="00A50B20"/>
    <w:rsid w:val="00A51390"/>
    <w:rsid w:val="00A53327"/>
    <w:rsid w:val="00A54E65"/>
    <w:rsid w:val="00A60D13"/>
    <w:rsid w:val="00A71D9C"/>
    <w:rsid w:val="00A7223D"/>
    <w:rsid w:val="00A72745"/>
    <w:rsid w:val="00A72CAB"/>
    <w:rsid w:val="00A76EFC"/>
    <w:rsid w:val="00A87D50"/>
    <w:rsid w:val="00A91010"/>
    <w:rsid w:val="00A97F29"/>
    <w:rsid w:val="00AA0B5B"/>
    <w:rsid w:val="00AA702E"/>
    <w:rsid w:val="00AA7D26"/>
    <w:rsid w:val="00AB0964"/>
    <w:rsid w:val="00AB5011"/>
    <w:rsid w:val="00AC7368"/>
    <w:rsid w:val="00AD16B9"/>
    <w:rsid w:val="00AD3EC2"/>
    <w:rsid w:val="00AE377D"/>
    <w:rsid w:val="00AE3B56"/>
    <w:rsid w:val="00AF0EBA"/>
    <w:rsid w:val="00AF4650"/>
    <w:rsid w:val="00B02C8A"/>
    <w:rsid w:val="00B040C2"/>
    <w:rsid w:val="00B1193E"/>
    <w:rsid w:val="00B17FBD"/>
    <w:rsid w:val="00B278A0"/>
    <w:rsid w:val="00B315A6"/>
    <w:rsid w:val="00B31813"/>
    <w:rsid w:val="00B33365"/>
    <w:rsid w:val="00B57B36"/>
    <w:rsid w:val="00B57E6F"/>
    <w:rsid w:val="00B74387"/>
    <w:rsid w:val="00B8686D"/>
    <w:rsid w:val="00B93F69"/>
    <w:rsid w:val="00BA514E"/>
    <w:rsid w:val="00BB1DDC"/>
    <w:rsid w:val="00BC30C9"/>
    <w:rsid w:val="00BD077D"/>
    <w:rsid w:val="00BE3E58"/>
    <w:rsid w:val="00C0086D"/>
    <w:rsid w:val="00C01616"/>
    <w:rsid w:val="00C0162B"/>
    <w:rsid w:val="00C068ED"/>
    <w:rsid w:val="00C10DFF"/>
    <w:rsid w:val="00C1436D"/>
    <w:rsid w:val="00C204E7"/>
    <w:rsid w:val="00C20E83"/>
    <w:rsid w:val="00C22E0C"/>
    <w:rsid w:val="00C2671C"/>
    <w:rsid w:val="00C27332"/>
    <w:rsid w:val="00C33C14"/>
    <w:rsid w:val="00C345B1"/>
    <w:rsid w:val="00C40142"/>
    <w:rsid w:val="00C51E37"/>
    <w:rsid w:val="00C52C3C"/>
    <w:rsid w:val="00C57182"/>
    <w:rsid w:val="00C5747B"/>
    <w:rsid w:val="00C57863"/>
    <w:rsid w:val="00C640AF"/>
    <w:rsid w:val="00C64945"/>
    <w:rsid w:val="00C655FD"/>
    <w:rsid w:val="00C65D07"/>
    <w:rsid w:val="00C74EEF"/>
    <w:rsid w:val="00C75407"/>
    <w:rsid w:val="00C841C6"/>
    <w:rsid w:val="00C870A8"/>
    <w:rsid w:val="00C92266"/>
    <w:rsid w:val="00C933EC"/>
    <w:rsid w:val="00C94434"/>
    <w:rsid w:val="00C94DC1"/>
    <w:rsid w:val="00CA0D75"/>
    <w:rsid w:val="00CA1C95"/>
    <w:rsid w:val="00CA5A9C"/>
    <w:rsid w:val="00CB41B1"/>
    <w:rsid w:val="00CC4C20"/>
    <w:rsid w:val="00CD3517"/>
    <w:rsid w:val="00CD5FE2"/>
    <w:rsid w:val="00CD7B5C"/>
    <w:rsid w:val="00CE1E1D"/>
    <w:rsid w:val="00CE7C68"/>
    <w:rsid w:val="00CF0D65"/>
    <w:rsid w:val="00CF3FD6"/>
    <w:rsid w:val="00CF5C56"/>
    <w:rsid w:val="00D02B4C"/>
    <w:rsid w:val="00D040C4"/>
    <w:rsid w:val="00D20AD1"/>
    <w:rsid w:val="00D238C3"/>
    <w:rsid w:val="00D255E5"/>
    <w:rsid w:val="00D2582C"/>
    <w:rsid w:val="00D37EE6"/>
    <w:rsid w:val="00D41115"/>
    <w:rsid w:val="00D46B7E"/>
    <w:rsid w:val="00D57C84"/>
    <w:rsid w:val="00D6057D"/>
    <w:rsid w:val="00D71640"/>
    <w:rsid w:val="00D836C5"/>
    <w:rsid w:val="00D84576"/>
    <w:rsid w:val="00D934F1"/>
    <w:rsid w:val="00D93A63"/>
    <w:rsid w:val="00DA1399"/>
    <w:rsid w:val="00DA24C6"/>
    <w:rsid w:val="00DA2DF8"/>
    <w:rsid w:val="00DA382B"/>
    <w:rsid w:val="00DA4D7B"/>
    <w:rsid w:val="00DC2179"/>
    <w:rsid w:val="00DC4ED0"/>
    <w:rsid w:val="00DD11FB"/>
    <w:rsid w:val="00DD271C"/>
    <w:rsid w:val="00DD779D"/>
    <w:rsid w:val="00DE24E4"/>
    <w:rsid w:val="00DE264A"/>
    <w:rsid w:val="00DF5072"/>
    <w:rsid w:val="00E02D18"/>
    <w:rsid w:val="00E041E7"/>
    <w:rsid w:val="00E05248"/>
    <w:rsid w:val="00E23CA1"/>
    <w:rsid w:val="00E25B99"/>
    <w:rsid w:val="00E409A8"/>
    <w:rsid w:val="00E440E9"/>
    <w:rsid w:val="00E4439B"/>
    <w:rsid w:val="00E47721"/>
    <w:rsid w:val="00E50C12"/>
    <w:rsid w:val="00E65B91"/>
    <w:rsid w:val="00E700D3"/>
    <w:rsid w:val="00E7209D"/>
    <w:rsid w:val="00E72EAD"/>
    <w:rsid w:val="00E77223"/>
    <w:rsid w:val="00E8528B"/>
    <w:rsid w:val="00E85B94"/>
    <w:rsid w:val="00E93D5F"/>
    <w:rsid w:val="00E978D0"/>
    <w:rsid w:val="00EA4613"/>
    <w:rsid w:val="00EA5F3A"/>
    <w:rsid w:val="00EA7F91"/>
    <w:rsid w:val="00EB1523"/>
    <w:rsid w:val="00EC0E49"/>
    <w:rsid w:val="00EC101F"/>
    <w:rsid w:val="00EC1D9F"/>
    <w:rsid w:val="00EC40E5"/>
    <w:rsid w:val="00EE0131"/>
    <w:rsid w:val="00EE17B0"/>
    <w:rsid w:val="00EF06D9"/>
    <w:rsid w:val="00EF5641"/>
    <w:rsid w:val="00EF5F7E"/>
    <w:rsid w:val="00F062B5"/>
    <w:rsid w:val="00F07720"/>
    <w:rsid w:val="00F1376F"/>
    <w:rsid w:val="00F214A6"/>
    <w:rsid w:val="00F3049E"/>
    <w:rsid w:val="00F30596"/>
    <w:rsid w:val="00F30C64"/>
    <w:rsid w:val="00F30E65"/>
    <w:rsid w:val="00F32BA2"/>
    <w:rsid w:val="00F32CDB"/>
    <w:rsid w:val="00F4754C"/>
    <w:rsid w:val="00F546D7"/>
    <w:rsid w:val="00F565FE"/>
    <w:rsid w:val="00F63A70"/>
    <w:rsid w:val="00F63D8C"/>
    <w:rsid w:val="00F64A70"/>
    <w:rsid w:val="00F64B9C"/>
    <w:rsid w:val="00F65D71"/>
    <w:rsid w:val="00F7534E"/>
    <w:rsid w:val="00F93EDF"/>
    <w:rsid w:val="00FA1802"/>
    <w:rsid w:val="00FA21D0"/>
    <w:rsid w:val="00FA5F5F"/>
    <w:rsid w:val="00FB5C19"/>
    <w:rsid w:val="00FB730C"/>
    <w:rsid w:val="00FB7672"/>
    <w:rsid w:val="00FC0B6C"/>
    <w:rsid w:val="00FC2695"/>
    <w:rsid w:val="00FC3E03"/>
    <w:rsid w:val="00FC3FC1"/>
    <w:rsid w:val="00FC5BF1"/>
    <w:rsid w:val="00FD273E"/>
    <w:rsid w:val="00FF5F92"/>
  </w:rsids>
  <m:mathPr>
    <m:mathFont m:val="Cambria Math"/>
    <m:brkBin m:val="before"/>
    <m:brkBinSub m:val="--"/>
    <m:smallFrac m:val="0"/>
    <m:dispDef/>
    <m:lMargin m:val="0"/>
    <m:rMargin m:val="0"/>
    <m:defJc m:val="centerGroup"/>
    <m:wrapIndent m:val="1440"/>
    <m:intLim m:val="subSup"/>
    <m:naryLim m:val="undOvr"/>
  </m:mathPr>
  <w:themeFontLang w:val="it-IT"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AE0CC22"/>
  <w15:docId w15:val="{0B95FB59-9D38-42B5-B090-D2348EE1E9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CET Top_page"/>
    <w:rsid w:val="00620DEE"/>
    <w:pPr>
      <w:tabs>
        <w:tab w:val="right" w:pos="7100"/>
      </w:tabs>
      <w:spacing w:after="0" w:line="264" w:lineRule="auto"/>
      <w:jc w:val="both"/>
    </w:pPr>
    <w:rPr>
      <w:rFonts w:ascii="Arial" w:eastAsia="Times New Roman" w:hAnsi="Arial" w:cs="Times New Roman"/>
      <w:sz w:val="18"/>
      <w:szCs w:val="20"/>
      <w:lang w:val="en-GB"/>
    </w:rPr>
  </w:style>
  <w:style w:type="paragraph" w:styleId="Ttulo1">
    <w:name w:val="heading 1"/>
    <w:basedOn w:val="CETHeading1"/>
    <w:next w:val="Normal"/>
    <w:link w:val="Ttulo1Car"/>
    <w:uiPriority w:val="9"/>
    <w:rsid w:val="004F5E36"/>
    <w:pPr>
      <w:tabs>
        <w:tab w:val="right" w:pos="7100"/>
      </w:tabs>
      <w:jc w:val="both"/>
      <w:outlineLvl w:val="0"/>
    </w:pPr>
    <w:rPr>
      <w:lang w:val="en-GB"/>
    </w:rPr>
  </w:style>
  <w:style w:type="paragraph" w:styleId="Ttulo2">
    <w:name w:val="heading 2"/>
    <w:basedOn w:val="Normal"/>
    <w:next w:val="Normal"/>
    <w:link w:val="Ttulo2Car"/>
    <w:uiPriority w:val="9"/>
    <w:semiHidden/>
    <w:unhideWhenUsed/>
    <w:qFormat/>
    <w:rsid w:val="0003148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03148D"/>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3148D"/>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03148D"/>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3148D"/>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03148D"/>
    <w:pPr>
      <w:keepNext/>
      <w:keepLines/>
      <w:spacing w:before="20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03148D"/>
    <w:pPr>
      <w:keepNext/>
      <w:keepLines/>
      <w:spacing w:before="200"/>
      <w:outlineLvl w:val="7"/>
    </w:pPr>
    <w:rPr>
      <w:rFonts w:asciiTheme="majorHAnsi" w:eastAsiaTheme="majorEastAsia" w:hAnsiTheme="majorHAnsi" w:cstheme="majorBidi"/>
      <w:color w:val="404040" w:themeColor="text1" w:themeTint="BF"/>
    </w:rPr>
  </w:style>
  <w:style w:type="paragraph" w:styleId="Ttulo9">
    <w:name w:val="heading 9"/>
    <w:basedOn w:val="Normal"/>
    <w:next w:val="Normal"/>
    <w:link w:val="Ttulo9Car"/>
    <w:uiPriority w:val="9"/>
    <w:semiHidden/>
    <w:unhideWhenUsed/>
    <w:qFormat/>
    <w:rsid w:val="0003148D"/>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ETAuthors">
    <w:name w:val="CET Authors"/>
    <w:basedOn w:val="CETBodytext"/>
    <w:link w:val="CETAuthorsCarattere"/>
    <w:qFormat/>
    <w:rsid w:val="000E414A"/>
    <w:pPr>
      <w:keepNext/>
      <w:suppressAutoHyphens/>
      <w:spacing w:after="120"/>
    </w:pPr>
    <w:rPr>
      <w:noProof/>
      <w:sz w:val="24"/>
      <w:lang w:val="en-GB"/>
    </w:rPr>
  </w:style>
  <w:style w:type="paragraph" w:customStyle="1" w:styleId="CETTitle">
    <w:name w:val="CET Title"/>
    <w:next w:val="CETAuthors"/>
    <w:link w:val="CETTitleCarattere"/>
    <w:rsid w:val="00FB730C"/>
    <w:pPr>
      <w:suppressAutoHyphens/>
      <w:spacing w:before="480" w:after="120" w:line="264" w:lineRule="auto"/>
      <w:jc w:val="center"/>
      <w:outlineLvl w:val="0"/>
    </w:pPr>
    <w:rPr>
      <w:rFonts w:ascii="Arial" w:eastAsia="Times New Roman" w:hAnsi="Arial" w:cs="Times New Roman"/>
      <w:sz w:val="32"/>
      <w:szCs w:val="20"/>
      <w:lang w:val="en-GB"/>
    </w:rPr>
  </w:style>
  <w:style w:type="character" w:customStyle="1" w:styleId="CETAuthorsCarattere">
    <w:name w:val="CET Authors Carattere"/>
    <w:link w:val="CETAuthors"/>
    <w:rsid w:val="009E788A"/>
    <w:rPr>
      <w:rFonts w:ascii="Arial" w:eastAsia="Times New Roman" w:hAnsi="Arial" w:cs="Times New Roman"/>
      <w:noProof/>
      <w:sz w:val="24"/>
      <w:szCs w:val="20"/>
      <w:lang w:val="en-GB"/>
    </w:rPr>
  </w:style>
  <w:style w:type="character" w:customStyle="1" w:styleId="CETTitleCarattere">
    <w:name w:val="CET Title Carattere"/>
    <w:link w:val="CETTitle"/>
    <w:rsid w:val="00FB730C"/>
    <w:rPr>
      <w:rFonts w:ascii="Arial" w:eastAsia="Times New Roman" w:hAnsi="Arial" w:cs="Times New Roman"/>
      <w:sz w:val="32"/>
      <w:szCs w:val="20"/>
      <w:lang w:val="en-GB"/>
    </w:rPr>
  </w:style>
  <w:style w:type="paragraph" w:customStyle="1" w:styleId="CETHeading1">
    <w:name w:val="CET Heading1"/>
    <w:next w:val="CETBodytext"/>
    <w:qFormat/>
    <w:rsid w:val="009E788A"/>
    <w:pPr>
      <w:keepNext/>
      <w:numPr>
        <w:ilvl w:val="1"/>
        <w:numId w:val="1"/>
      </w:numPr>
      <w:suppressAutoHyphens/>
      <w:spacing w:before="240" w:after="120" w:line="240" w:lineRule="auto"/>
    </w:pPr>
    <w:rPr>
      <w:rFonts w:ascii="Arial" w:eastAsia="Times New Roman" w:hAnsi="Arial" w:cs="Times New Roman"/>
      <w:b/>
      <w:sz w:val="20"/>
      <w:szCs w:val="20"/>
      <w:lang w:val="en-US"/>
    </w:rPr>
  </w:style>
  <w:style w:type="paragraph" w:customStyle="1" w:styleId="CETBodytext">
    <w:name w:val="CET Body text"/>
    <w:link w:val="CETBodytextCarattere"/>
    <w:qFormat/>
    <w:rsid w:val="000E414A"/>
    <w:pPr>
      <w:tabs>
        <w:tab w:val="right" w:pos="7100"/>
      </w:tabs>
      <w:spacing w:after="0" w:line="264" w:lineRule="auto"/>
      <w:jc w:val="both"/>
    </w:pPr>
    <w:rPr>
      <w:rFonts w:ascii="Arial" w:eastAsia="Times New Roman" w:hAnsi="Arial" w:cs="Times New Roman"/>
      <w:sz w:val="18"/>
      <w:szCs w:val="20"/>
      <w:lang w:val="en-US"/>
    </w:rPr>
  </w:style>
  <w:style w:type="paragraph" w:customStyle="1" w:styleId="CETheadingx">
    <w:name w:val="CET headingx"/>
    <w:next w:val="CETBodytext"/>
    <w:link w:val="CETheadingxCarattere"/>
    <w:autoRedefine/>
    <w:qFormat/>
    <w:rsid w:val="00FA5F5F"/>
    <w:pPr>
      <w:keepNext/>
      <w:numPr>
        <w:ilvl w:val="2"/>
        <w:numId w:val="1"/>
      </w:numPr>
      <w:suppressAutoHyphens/>
      <w:spacing w:before="120" w:after="120" w:line="240" w:lineRule="auto"/>
    </w:pPr>
    <w:rPr>
      <w:rFonts w:ascii="Arial" w:eastAsia="Times New Roman" w:hAnsi="Arial" w:cs="Times New Roman"/>
      <w:b/>
      <w:sz w:val="18"/>
      <w:szCs w:val="20"/>
      <w:lang w:val="en-US"/>
    </w:rPr>
  </w:style>
  <w:style w:type="paragraph" w:customStyle="1" w:styleId="CETAddress">
    <w:name w:val="CET Address"/>
    <w:link w:val="CETAddressCarattere"/>
    <w:qFormat/>
    <w:rsid w:val="009E788A"/>
    <w:pPr>
      <w:keepNext/>
      <w:suppressAutoHyphens/>
      <w:spacing w:after="0"/>
      <w:contextualSpacing/>
    </w:pPr>
    <w:rPr>
      <w:rFonts w:ascii="Arial" w:eastAsia="Times New Roman" w:hAnsi="Arial" w:cs="Times New Roman"/>
      <w:noProof/>
      <w:sz w:val="16"/>
      <w:szCs w:val="20"/>
      <w:lang w:val="en-GB"/>
    </w:rPr>
  </w:style>
  <w:style w:type="table" w:styleId="Tablabsica1">
    <w:name w:val="Table Simple 1"/>
    <w:basedOn w:val="Tablanormal"/>
    <w:semiHidden/>
    <w:rsid w:val="000E414A"/>
    <w:pPr>
      <w:numPr>
        <w:ilvl w:val="3"/>
        <w:numId w:val="1"/>
      </w:numPr>
      <w:spacing w:after="0" w:line="264" w:lineRule="auto"/>
      <w:jc w:val="both"/>
    </w:pPr>
    <w:rPr>
      <w:rFonts w:ascii="Times New Roman" w:eastAsia="Times New Roman" w:hAnsi="Times New Roman" w:cs="Times New Roman"/>
      <w:sz w:val="20"/>
      <w:szCs w:val="20"/>
      <w:lang w:eastAsia="it-IT"/>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customStyle="1" w:styleId="CETBodytextCarattere">
    <w:name w:val="CET Body text Carattere"/>
    <w:link w:val="CETBodytext"/>
    <w:rsid w:val="000E414A"/>
    <w:rPr>
      <w:rFonts w:ascii="Arial" w:eastAsia="Times New Roman" w:hAnsi="Arial" w:cs="Times New Roman"/>
      <w:sz w:val="18"/>
      <w:szCs w:val="20"/>
      <w:lang w:val="en-US"/>
    </w:rPr>
  </w:style>
  <w:style w:type="paragraph" w:customStyle="1" w:styleId="CETReference">
    <w:name w:val="CET Reference"/>
    <w:qFormat/>
    <w:rsid w:val="00FC2695"/>
    <w:pPr>
      <w:spacing w:before="200" w:after="120" w:line="240" w:lineRule="auto"/>
    </w:pPr>
    <w:rPr>
      <w:rFonts w:ascii="Arial" w:eastAsia="Times New Roman" w:hAnsi="Arial" w:cs="Times New Roman"/>
      <w:b/>
      <w:sz w:val="18"/>
      <w:szCs w:val="20"/>
      <w:lang w:val="en-GB"/>
    </w:rPr>
  </w:style>
  <w:style w:type="paragraph" w:customStyle="1" w:styleId="CETCaption">
    <w:name w:val="CET Caption"/>
    <w:link w:val="CETCaptionCarattere"/>
    <w:qFormat/>
    <w:rsid w:val="00F7534E"/>
    <w:pPr>
      <w:spacing w:before="240" w:after="240" w:line="264" w:lineRule="auto"/>
      <w:jc w:val="both"/>
    </w:pPr>
    <w:rPr>
      <w:rFonts w:ascii="Arial" w:eastAsia="Times New Roman" w:hAnsi="Arial" w:cs="Times New Roman"/>
      <w:i/>
      <w:sz w:val="18"/>
      <w:szCs w:val="20"/>
      <w:lang w:val="en-GB"/>
    </w:rPr>
  </w:style>
  <w:style w:type="character" w:customStyle="1" w:styleId="CETheadingxCarattere">
    <w:name w:val="CET headingx Carattere"/>
    <w:link w:val="CETheadingx"/>
    <w:rsid w:val="00FA5F5F"/>
    <w:rPr>
      <w:rFonts w:ascii="Arial" w:eastAsia="Times New Roman" w:hAnsi="Arial" w:cs="Times New Roman"/>
      <w:b/>
      <w:sz w:val="18"/>
      <w:szCs w:val="20"/>
      <w:lang w:val="en-US"/>
    </w:rPr>
  </w:style>
  <w:style w:type="character" w:customStyle="1" w:styleId="CETCaptionCarattere">
    <w:name w:val="CET Caption Carattere"/>
    <w:link w:val="CETCaption"/>
    <w:rsid w:val="00F7534E"/>
    <w:rPr>
      <w:rFonts w:ascii="Arial" w:eastAsia="Times New Roman" w:hAnsi="Arial" w:cs="Times New Roman"/>
      <w:i/>
      <w:sz w:val="18"/>
      <w:szCs w:val="20"/>
      <w:lang w:val="en-GB"/>
    </w:rPr>
  </w:style>
  <w:style w:type="paragraph" w:customStyle="1" w:styleId="CETBodytextItalic">
    <w:name w:val="CET Body text (Italic)"/>
    <w:basedOn w:val="CETBodytext"/>
    <w:qFormat/>
    <w:rsid w:val="004F5E36"/>
    <w:rPr>
      <w:i/>
      <w:lang w:val="en-GB"/>
    </w:rPr>
  </w:style>
  <w:style w:type="character" w:styleId="Refdecomentario">
    <w:name w:val="annotation reference"/>
    <w:basedOn w:val="Fuentedeprrafopredeter"/>
    <w:uiPriority w:val="99"/>
    <w:semiHidden/>
    <w:unhideWhenUsed/>
    <w:rsid w:val="004577FE"/>
    <w:rPr>
      <w:sz w:val="16"/>
      <w:szCs w:val="16"/>
    </w:rPr>
  </w:style>
  <w:style w:type="paragraph" w:styleId="Textodeglobo">
    <w:name w:val="Balloon Text"/>
    <w:basedOn w:val="Normal"/>
    <w:link w:val="TextodegloboCar"/>
    <w:uiPriority w:val="99"/>
    <w:semiHidden/>
    <w:unhideWhenUsed/>
    <w:rsid w:val="000D34B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D34BE"/>
    <w:rPr>
      <w:rFonts w:ascii="Tahoma" w:hAnsi="Tahoma" w:cs="Tahoma"/>
      <w:sz w:val="16"/>
      <w:szCs w:val="16"/>
    </w:rPr>
  </w:style>
  <w:style w:type="paragraph" w:styleId="Bibliografa">
    <w:name w:val="Bibliography"/>
    <w:basedOn w:val="CETReferencetext"/>
    <w:uiPriority w:val="37"/>
    <w:unhideWhenUsed/>
    <w:rsid w:val="00631B33"/>
    <w:pPr>
      <w:spacing w:line="240" w:lineRule="auto"/>
      <w:ind w:left="720" w:hanging="720"/>
    </w:pPr>
  </w:style>
  <w:style w:type="paragraph" w:styleId="Textoindependiente2">
    <w:name w:val="Body Text 2"/>
    <w:basedOn w:val="Normal"/>
    <w:link w:val="Textoindependiente2Car"/>
    <w:uiPriority w:val="99"/>
    <w:semiHidden/>
    <w:unhideWhenUsed/>
    <w:rsid w:val="0003148D"/>
    <w:pPr>
      <w:spacing w:after="120" w:line="480" w:lineRule="auto"/>
    </w:pPr>
  </w:style>
  <w:style w:type="character" w:customStyle="1" w:styleId="Textoindependiente2Car">
    <w:name w:val="Texto independiente 2 Car"/>
    <w:basedOn w:val="Fuentedeprrafopredeter"/>
    <w:link w:val="Textoindependiente2"/>
    <w:uiPriority w:val="99"/>
    <w:semiHidden/>
    <w:rsid w:val="0003148D"/>
  </w:style>
  <w:style w:type="paragraph" w:styleId="Textoindependiente3">
    <w:name w:val="Body Text 3"/>
    <w:basedOn w:val="Normal"/>
    <w:link w:val="Textoindependiente3Car"/>
    <w:uiPriority w:val="99"/>
    <w:semiHidden/>
    <w:unhideWhenUsed/>
    <w:rsid w:val="0003148D"/>
    <w:pPr>
      <w:spacing w:after="120"/>
    </w:pPr>
    <w:rPr>
      <w:sz w:val="16"/>
      <w:szCs w:val="16"/>
    </w:rPr>
  </w:style>
  <w:style w:type="character" w:customStyle="1" w:styleId="Textoindependiente3Car">
    <w:name w:val="Texto independiente 3 Car"/>
    <w:basedOn w:val="Fuentedeprrafopredeter"/>
    <w:link w:val="Textoindependiente3"/>
    <w:uiPriority w:val="99"/>
    <w:semiHidden/>
    <w:rsid w:val="0003148D"/>
    <w:rPr>
      <w:sz w:val="16"/>
      <w:szCs w:val="16"/>
    </w:rPr>
  </w:style>
  <w:style w:type="paragraph" w:styleId="Textoindependiente">
    <w:name w:val="Body Text"/>
    <w:basedOn w:val="Normal"/>
    <w:link w:val="TextoindependienteCar"/>
    <w:uiPriority w:val="99"/>
    <w:semiHidden/>
    <w:unhideWhenUsed/>
    <w:rsid w:val="0003148D"/>
    <w:pPr>
      <w:spacing w:after="120"/>
    </w:pPr>
  </w:style>
  <w:style w:type="character" w:customStyle="1" w:styleId="TextoindependienteCar">
    <w:name w:val="Texto independiente Car"/>
    <w:basedOn w:val="Fuentedeprrafopredeter"/>
    <w:link w:val="Textoindependiente"/>
    <w:uiPriority w:val="99"/>
    <w:semiHidden/>
    <w:rsid w:val="0003148D"/>
  </w:style>
  <w:style w:type="paragraph" w:styleId="Fecha">
    <w:name w:val="Date"/>
    <w:basedOn w:val="Normal"/>
    <w:next w:val="Normal"/>
    <w:link w:val="FechaCar"/>
    <w:uiPriority w:val="99"/>
    <w:semiHidden/>
    <w:unhideWhenUsed/>
    <w:rsid w:val="0003148D"/>
  </w:style>
  <w:style w:type="character" w:customStyle="1" w:styleId="FechaCar">
    <w:name w:val="Fecha Car"/>
    <w:basedOn w:val="Fuentedeprrafopredeter"/>
    <w:link w:val="Fecha"/>
    <w:uiPriority w:val="99"/>
    <w:semiHidden/>
    <w:rsid w:val="0003148D"/>
  </w:style>
  <w:style w:type="paragraph" w:styleId="Descripcin">
    <w:name w:val="caption"/>
    <w:basedOn w:val="Normal"/>
    <w:next w:val="Normal"/>
    <w:uiPriority w:val="35"/>
    <w:semiHidden/>
    <w:unhideWhenUsed/>
    <w:qFormat/>
    <w:rsid w:val="0003148D"/>
    <w:pPr>
      <w:spacing w:line="240" w:lineRule="auto"/>
    </w:pPr>
    <w:rPr>
      <w:b/>
      <w:bCs/>
      <w:color w:val="4F81BD" w:themeColor="accent1"/>
      <w:szCs w:val="18"/>
    </w:rPr>
  </w:style>
  <w:style w:type="paragraph" w:styleId="Lista">
    <w:name w:val="List"/>
    <w:basedOn w:val="Normal"/>
    <w:uiPriority w:val="99"/>
    <w:semiHidden/>
    <w:unhideWhenUsed/>
    <w:rsid w:val="0003148D"/>
    <w:pPr>
      <w:ind w:left="283" w:hanging="283"/>
      <w:contextualSpacing/>
    </w:pPr>
  </w:style>
  <w:style w:type="paragraph" w:styleId="Lista2">
    <w:name w:val="List 2"/>
    <w:basedOn w:val="Normal"/>
    <w:uiPriority w:val="99"/>
    <w:semiHidden/>
    <w:unhideWhenUsed/>
    <w:rsid w:val="0003148D"/>
    <w:pPr>
      <w:ind w:left="566" w:hanging="283"/>
      <w:contextualSpacing/>
    </w:pPr>
  </w:style>
  <w:style w:type="paragraph" w:styleId="Lista3">
    <w:name w:val="List 3"/>
    <w:basedOn w:val="Normal"/>
    <w:uiPriority w:val="99"/>
    <w:semiHidden/>
    <w:unhideWhenUsed/>
    <w:rsid w:val="0003148D"/>
    <w:pPr>
      <w:ind w:left="849" w:hanging="283"/>
      <w:contextualSpacing/>
    </w:pPr>
  </w:style>
  <w:style w:type="paragraph" w:styleId="Lista4">
    <w:name w:val="List 4"/>
    <w:basedOn w:val="Normal"/>
    <w:uiPriority w:val="99"/>
    <w:semiHidden/>
    <w:unhideWhenUsed/>
    <w:rsid w:val="0003148D"/>
    <w:pPr>
      <w:ind w:left="1132" w:hanging="283"/>
      <w:contextualSpacing/>
    </w:pPr>
  </w:style>
  <w:style w:type="paragraph" w:styleId="Lista5">
    <w:name w:val="List 5"/>
    <w:basedOn w:val="Normal"/>
    <w:uiPriority w:val="99"/>
    <w:semiHidden/>
    <w:unhideWhenUsed/>
    <w:rsid w:val="0003148D"/>
    <w:pPr>
      <w:ind w:left="1415" w:hanging="283"/>
      <w:contextualSpacing/>
    </w:pPr>
  </w:style>
  <w:style w:type="paragraph" w:styleId="Continuarlista">
    <w:name w:val="List Continue"/>
    <w:basedOn w:val="Normal"/>
    <w:uiPriority w:val="99"/>
    <w:semiHidden/>
    <w:unhideWhenUsed/>
    <w:rsid w:val="0003148D"/>
    <w:pPr>
      <w:spacing w:after="120"/>
      <w:ind w:left="283"/>
      <w:contextualSpacing/>
    </w:pPr>
  </w:style>
  <w:style w:type="paragraph" w:styleId="Continuarlista2">
    <w:name w:val="List Continue 2"/>
    <w:basedOn w:val="Normal"/>
    <w:uiPriority w:val="99"/>
    <w:semiHidden/>
    <w:unhideWhenUsed/>
    <w:rsid w:val="0003148D"/>
    <w:pPr>
      <w:spacing w:after="120"/>
      <w:ind w:left="566"/>
      <w:contextualSpacing/>
    </w:pPr>
  </w:style>
  <w:style w:type="paragraph" w:styleId="Continuarlista3">
    <w:name w:val="List Continue 3"/>
    <w:basedOn w:val="Normal"/>
    <w:uiPriority w:val="99"/>
    <w:semiHidden/>
    <w:unhideWhenUsed/>
    <w:rsid w:val="0003148D"/>
    <w:pPr>
      <w:spacing w:after="120"/>
      <w:ind w:left="849"/>
      <w:contextualSpacing/>
    </w:pPr>
  </w:style>
  <w:style w:type="paragraph" w:styleId="Continuarlista4">
    <w:name w:val="List Continue 4"/>
    <w:basedOn w:val="Normal"/>
    <w:uiPriority w:val="99"/>
    <w:semiHidden/>
    <w:unhideWhenUsed/>
    <w:rsid w:val="0003148D"/>
    <w:pPr>
      <w:spacing w:after="120"/>
      <w:ind w:left="1132"/>
      <w:contextualSpacing/>
    </w:pPr>
  </w:style>
  <w:style w:type="paragraph" w:styleId="Continuarlista5">
    <w:name w:val="List Continue 5"/>
    <w:basedOn w:val="Normal"/>
    <w:uiPriority w:val="99"/>
    <w:semiHidden/>
    <w:unhideWhenUsed/>
    <w:rsid w:val="0003148D"/>
    <w:pPr>
      <w:spacing w:after="120"/>
      <w:ind w:left="1415"/>
      <w:contextualSpacing/>
    </w:pPr>
  </w:style>
  <w:style w:type="paragraph" w:styleId="Firma">
    <w:name w:val="Signature"/>
    <w:basedOn w:val="Normal"/>
    <w:link w:val="FirmaCar"/>
    <w:uiPriority w:val="99"/>
    <w:semiHidden/>
    <w:unhideWhenUsed/>
    <w:rsid w:val="0003148D"/>
    <w:pPr>
      <w:spacing w:line="240" w:lineRule="auto"/>
      <w:ind w:left="4252"/>
    </w:pPr>
  </w:style>
  <w:style w:type="character" w:customStyle="1" w:styleId="FirmaCar">
    <w:name w:val="Firma Car"/>
    <w:basedOn w:val="Fuentedeprrafopredeter"/>
    <w:link w:val="Firma"/>
    <w:uiPriority w:val="99"/>
    <w:semiHidden/>
    <w:rsid w:val="0003148D"/>
  </w:style>
  <w:style w:type="paragraph" w:styleId="Firmadecorreoelectrnico">
    <w:name w:val="E-mail Signature"/>
    <w:basedOn w:val="Normal"/>
    <w:link w:val="FirmadecorreoelectrnicoCar"/>
    <w:uiPriority w:val="99"/>
    <w:semiHidden/>
    <w:unhideWhenUsed/>
    <w:rsid w:val="0003148D"/>
    <w:pPr>
      <w:spacing w:line="240" w:lineRule="auto"/>
    </w:pPr>
  </w:style>
  <w:style w:type="character" w:customStyle="1" w:styleId="FirmadecorreoelectrnicoCar">
    <w:name w:val="Firma de correo electrónico Car"/>
    <w:basedOn w:val="Fuentedeprrafopredeter"/>
    <w:link w:val="Firmadecorreoelectrnico"/>
    <w:uiPriority w:val="99"/>
    <w:semiHidden/>
    <w:rsid w:val="0003148D"/>
  </w:style>
  <w:style w:type="paragraph" w:styleId="Saludo">
    <w:name w:val="Salutation"/>
    <w:basedOn w:val="Normal"/>
    <w:next w:val="Normal"/>
    <w:link w:val="SaludoCar"/>
    <w:uiPriority w:val="99"/>
    <w:semiHidden/>
    <w:unhideWhenUsed/>
    <w:rsid w:val="0003148D"/>
  </w:style>
  <w:style w:type="character" w:customStyle="1" w:styleId="SaludoCar">
    <w:name w:val="Saludo Car"/>
    <w:basedOn w:val="Fuentedeprrafopredeter"/>
    <w:link w:val="Saludo"/>
    <w:uiPriority w:val="99"/>
    <w:semiHidden/>
    <w:rsid w:val="0003148D"/>
  </w:style>
  <w:style w:type="paragraph" w:styleId="Cierre">
    <w:name w:val="Closing"/>
    <w:basedOn w:val="Normal"/>
    <w:link w:val="CierreCar"/>
    <w:uiPriority w:val="99"/>
    <w:semiHidden/>
    <w:unhideWhenUsed/>
    <w:rsid w:val="0003148D"/>
    <w:pPr>
      <w:spacing w:line="240" w:lineRule="auto"/>
      <w:ind w:left="4252"/>
    </w:pPr>
  </w:style>
  <w:style w:type="character" w:customStyle="1" w:styleId="CierreCar">
    <w:name w:val="Cierre Car"/>
    <w:basedOn w:val="Fuentedeprrafopredeter"/>
    <w:link w:val="Cierre"/>
    <w:uiPriority w:val="99"/>
    <w:semiHidden/>
    <w:rsid w:val="0003148D"/>
  </w:style>
  <w:style w:type="paragraph" w:styleId="ndice1">
    <w:name w:val="index 1"/>
    <w:basedOn w:val="Normal"/>
    <w:next w:val="Normal"/>
    <w:autoRedefine/>
    <w:uiPriority w:val="99"/>
    <w:semiHidden/>
    <w:unhideWhenUsed/>
    <w:rsid w:val="0003148D"/>
    <w:pPr>
      <w:spacing w:line="240" w:lineRule="auto"/>
      <w:ind w:left="220" w:hanging="220"/>
    </w:pPr>
  </w:style>
  <w:style w:type="paragraph" w:styleId="ndice2">
    <w:name w:val="index 2"/>
    <w:basedOn w:val="Normal"/>
    <w:next w:val="Normal"/>
    <w:autoRedefine/>
    <w:uiPriority w:val="99"/>
    <w:semiHidden/>
    <w:unhideWhenUsed/>
    <w:rsid w:val="0003148D"/>
    <w:pPr>
      <w:spacing w:line="240" w:lineRule="auto"/>
      <w:ind w:left="440" w:hanging="220"/>
    </w:pPr>
  </w:style>
  <w:style w:type="paragraph" w:styleId="ndice3">
    <w:name w:val="index 3"/>
    <w:basedOn w:val="Normal"/>
    <w:next w:val="Normal"/>
    <w:autoRedefine/>
    <w:uiPriority w:val="99"/>
    <w:semiHidden/>
    <w:unhideWhenUsed/>
    <w:rsid w:val="0003148D"/>
    <w:pPr>
      <w:spacing w:line="240" w:lineRule="auto"/>
      <w:ind w:left="660" w:hanging="220"/>
    </w:pPr>
  </w:style>
  <w:style w:type="paragraph" w:styleId="ndice4">
    <w:name w:val="index 4"/>
    <w:basedOn w:val="Normal"/>
    <w:next w:val="Normal"/>
    <w:autoRedefine/>
    <w:uiPriority w:val="99"/>
    <w:semiHidden/>
    <w:unhideWhenUsed/>
    <w:rsid w:val="0003148D"/>
    <w:pPr>
      <w:spacing w:line="240" w:lineRule="auto"/>
      <w:ind w:left="880" w:hanging="220"/>
    </w:pPr>
  </w:style>
  <w:style w:type="paragraph" w:styleId="ndice5">
    <w:name w:val="index 5"/>
    <w:basedOn w:val="Normal"/>
    <w:next w:val="Normal"/>
    <w:autoRedefine/>
    <w:uiPriority w:val="99"/>
    <w:semiHidden/>
    <w:unhideWhenUsed/>
    <w:rsid w:val="0003148D"/>
    <w:pPr>
      <w:spacing w:line="240" w:lineRule="auto"/>
      <w:ind w:left="1100" w:hanging="220"/>
    </w:pPr>
  </w:style>
  <w:style w:type="paragraph" w:styleId="ndice6">
    <w:name w:val="index 6"/>
    <w:basedOn w:val="Normal"/>
    <w:next w:val="Normal"/>
    <w:autoRedefine/>
    <w:uiPriority w:val="99"/>
    <w:semiHidden/>
    <w:unhideWhenUsed/>
    <w:rsid w:val="0003148D"/>
    <w:pPr>
      <w:spacing w:line="240" w:lineRule="auto"/>
      <w:ind w:left="1320" w:hanging="220"/>
    </w:pPr>
  </w:style>
  <w:style w:type="paragraph" w:styleId="ndice7">
    <w:name w:val="index 7"/>
    <w:basedOn w:val="Normal"/>
    <w:next w:val="Normal"/>
    <w:autoRedefine/>
    <w:uiPriority w:val="99"/>
    <w:semiHidden/>
    <w:unhideWhenUsed/>
    <w:rsid w:val="0003148D"/>
    <w:pPr>
      <w:spacing w:line="240" w:lineRule="auto"/>
      <w:ind w:left="1540" w:hanging="220"/>
    </w:pPr>
  </w:style>
  <w:style w:type="paragraph" w:styleId="ndice8">
    <w:name w:val="index 8"/>
    <w:basedOn w:val="Normal"/>
    <w:next w:val="Normal"/>
    <w:autoRedefine/>
    <w:uiPriority w:val="99"/>
    <w:semiHidden/>
    <w:unhideWhenUsed/>
    <w:rsid w:val="0003148D"/>
    <w:pPr>
      <w:spacing w:line="240" w:lineRule="auto"/>
      <w:ind w:left="1760" w:hanging="220"/>
    </w:pPr>
  </w:style>
  <w:style w:type="paragraph" w:styleId="ndice9">
    <w:name w:val="index 9"/>
    <w:basedOn w:val="Normal"/>
    <w:next w:val="Normal"/>
    <w:autoRedefine/>
    <w:uiPriority w:val="99"/>
    <w:semiHidden/>
    <w:unhideWhenUsed/>
    <w:rsid w:val="0003148D"/>
    <w:pPr>
      <w:spacing w:line="240" w:lineRule="auto"/>
      <w:ind w:left="1980" w:hanging="220"/>
    </w:pPr>
  </w:style>
  <w:style w:type="paragraph" w:styleId="Tabladeilustraciones">
    <w:name w:val="table of figures"/>
    <w:basedOn w:val="Normal"/>
    <w:next w:val="Normal"/>
    <w:uiPriority w:val="99"/>
    <w:semiHidden/>
    <w:unhideWhenUsed/>
    <w:rsid w:val="0003148D"/>
  </w:style>
  <w:style w:type="paragraph" w:styleId="Textoconsangra">
    <w:name w:val="table of authorities"/>
    <w:basedOn w:val="Normal"/>
    <w:next w:val="Normal"/>
    <w:uiPriority w:val="99"/>
    <w:semiHidden/>
    <w:unhideWhenUsed/>
    <w:rsid w:val="0003148D"/>
    <w:pPr>
      <w:ind w:left="220" w:hanging="220"/>
    </w:pPr>
  </w:style>
  <w:style w:type="paragraph" w:styleId="Direccinsobre">
    <w:name w:val="envelope address"/>
    <w:basedOn w:val="Normal"/>
    <w:uiPriority w:val="99"/>
    <w:semiHidden/>
    <w:unhideWhenUsed/>
    <w:rsid w:val="0003148D"/>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paragraph" w:styleId="DireccinHTML">
    <w:name w:val="HTML Address"/>
    <w:basedOn w:val="Normal"/>
    <w:link w:val="DireccinHTMLCar"/>
    <w:uiPriority w:val="99"/>
    <w:semiHidden/>
    <w:unhideWhenUsed/>
    <w:rsid w:val="0003148D"/>
    <w:pPr>
      <w:spacing w:line="240" w:lineRule="auto"/>
    </w:pPr>
    <w:rPr>
      <w:i/>
      <w:iCs/>
    </w:rPr>
  </w:style>
  <w:style w:type="character" w:customStyle="1" w:styleId="DireccinHTMLCar">
    <w:name w:val="Dirección HTML Car"/>
    <w:basedOn w:val="Fuentedeprrafopredeter"/>
    <w:link w:val="DireccinHTML"/>
    <w:uiPriority w:val="99"/>
    <w:semiHidden/>
    <w:rsid w:val="0003148D"/>
    <w:rPr>
      <w:i/>
      <w:iCs/>
    </w:rPr>
  </w:style>
  <w:style w:type="paragraph" w:styleId="Remitedesobre">
    <w:name w:val="envelope return"/>
    <w:basedOn w:val="Normal"/>
    <w:uiPriority w:val="99"/>
    <w:semiHidden/>
    <w:unhideWhenUsed/>
    <w:rsid w:val="0003148D"/>
    <w:pPr>
      <w:spacing w:line="240" w:lineRule="auto"/>
    </w:pPr>
    <w:rPr>
      <w:rFonts w:asciiTheme="majorHAnsi" w:eastAsiaTheme="majorEastAsia" w:hAnsiTheme="majorHAnsi" w:cstheme="majorBidi"/>
    </w:rPr>
  </w:style>
  <w:style w:type="paragraph" w:styleId="Encabezadodemensaje">
    <w:name w:val="Message Header"/>
    <w:basedOn w:val="Normal"/>
    <w:link w:val="EncabezadodemensajeCar"/>
    <w:uiPriority w:val="99"/>
    <w:semiHidden/>
    <w:unhideWhenUsed/>
    <w:rsid w:val="0003148D"/>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asciiTheme="majorHAnsi" w:eastAsiaTheme="majorEastAsia" w:hAnsiTheme="majorHAnsi" w:cstheme="majorBidi"/>
      <w:sz w:val="24"/>
      <w:szCs w:val="24"/>
    </w:rPr>
  </w:style>
  <w:style w:type="character" w:customStyle="1" w:styleId="EncabezadodemensajeCar">
    <w:name w:val="Encabezado de mensaje Car"/>
    <w:basedOn w:val="Fuentedeprrafopredeter"/>
    <w:link w:val="Encabezadodemensaje"/>
    <w:uiPriority w:val="99"/>
    <w:semiHidden/>
    <w:rsid w:val="0003148D"/>
    <w:rPr>
      <w:rFonts w:asciiTheme="majorHAnsi" w:eastAsiaTheme="majorEastAsia" w:hAnsiTheme="majorHAnsi" w:cstheme="majorBidi"/>
      <w:sz w:val="24"/>
      <w:szCs w:val="24"/>
      <w:shd w:val="pct20" w:color="auto" w:fill="auto"/>
    </w:rPr>
  </w:style>
  <w:style w:type="paragraph" w:styleId="Encabezadodenota">
    <w:name w:val="Note Heading"/>
    <w:basedOn w:val="Normal"/>
    <w:next w:val="Normal"/>
    <w:link w:val="EncabezadodenotaCar"/>
    <w:uiPriority w:val="99"/>
    <w:semiHidden/>
    <w:unhideWhenUsed/>
    <w:rsid w:val="0003148D"/>
    <w:pPr>
      <w:spacing w:line="240" w:lineRule="auto"/>
    </w:pPr>
  </w:style>
  <w:style w:type="character" w:customStyle="1" w:styleId="EncabezadodenotaCar">
    <w:name w:val="Encabezado de nota Car"/>
    <w:basedOn w:val="Fuentedeprrafopredeter"/>
    <w:link w:val="Encabezadodenota"/>
    <w:uiPriority w:val="99"/>
    <w:semiHidden/>
    <w:rsid w:val="0003148D"/>
  </w:style>
  <w:style w:type="paragraph" w:styleId="Mapadeldocumento">
    <w:name w:val="Document Map"/>
    <w:basedOn w:val="Normal"/>
    <w:link w:val="MapadeldocumentoCar"/>
    <w:uiPriority w:val="99"/>
    <w:semiHidden/>
    <w:unhideWhenUsed/>
    <w:rsid w:val="0003148D"/>
    <w:pPr>
      <w:spacing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03148D"/>
    <w:rPr>
      <w:rFonts w:ascii="Tahoma" w:hAnsi="Tahoma" w:cs="Tahoma"/>
      <w:sz w:val="16"/>
      <w:szCs w:val="16"/>
    </w:rPr>
  </w:style>
  <w:style w:type="paragraph" w:styleId="NormalWeb">
    <w:name w:val="Normal (Web)"/>
    <w:basedOn w:val="Normal"/>
    <w:uiPriority w:val="99"/>
    <w:semiHidden/>
    <w:unhideWhenUsed/>
    <w:rsid w:val="0003148D"/>
    <w:rPr>
      <w:sz w:val="24"/>
      <w:szCs w:val="24"/>
    </w:rPr>
  </w:style>
  <w:style w:type="paragraph" w:styleId="Listaconnmeros">
    <w:name w:val="List Number"/>
    <w:basedOn w:val="Normal"/>
    <w:uiPriority w:val="99"/>
    <w:semiHidden/>
    <w:unhideWhenUsed/>
    <w:rsid w:val="0003148D"/>
    <w:pPr>
      <w:numPr>
        <w:numId w:val="2"/>
      </w:numPr>
      <w:contextualSpacing/>
    </w:pPr>
  </w:style>
  <w:style w:type="paragraph" w:styleId="Listaconnmeros2">
    <w:name w:val="List Number 2"/>
    <w:basedOn w:val="Normal"/>
    <w:uiPriority w:val="99"/>
    <w:semiHidden/>
    <w:unhideWhenUsed/>
    <w:rsid w:val="0003148D"/>
    <w:pPr>
      <w:numPr>
        <w:numId w:val="3"/>
      </w:numPr>
      <w:contextualSpacing/>
    </w:pPr>
  </w:style>
  <w:style w:type="paragraph" w:styleId="Listaconnmeros3">
    <w:name w:val="List Number 3"/>
    <w:basedOn w:val="Normal"/>
    <w:uiPriority w:val="99"/>
    <w:semiHidden/>
    <w:unhideWhenUsed/>
    <w:rsid w:val="0003148D"/>
    <w:pPr>
      <w:numPr>
        <w:numId w:val="4"/>
      </w:numPr>
      <w:contextualSpacing/>
    </w:pPr>
  </w:style>
  <w:style w:type="paragraph" w:styleId="Listaconnmeros4">
    <w:name w:val="List Number 4"/>
    <w:basedOn w:val="Normal"/>
    <w:uiPriority w:val="99"/>
    <w:semiHidden/>
    <w:unhideWhenUsed/>
    <w:rsid w:val="0003148D"/>
    <w:pPr>
      <w:numPr>
        <w:numId w:val="5"/>
      </w:numPr>
      <w:contextualSpacing/>
    </w:pPr>
  </w:style>
  <w:style w:type="paragraph" w:styleId="Listaconnmeros5">
    <w:name w:val="List Number 5"/>
    <w:basedOn w:val="Normal"/>
    <w:uiPriority w:val="99"/>
    <w:semiHidden/>
    <w:unhideWhenUsed/>
    <w:rsid w:val="0003148D"/>
    <w:pPr>
      <w:numPr>
        <w:numId w:val="6"/>
      </w:numPr>
      <w:contextualSpacing/>
    </w:pPr>
  </w:style>
  <w:style w:type="paragraph" w:styleId="HTMLconformatoprevio">
    <w:name w:val="HTML Preformatted"/>
    <w:basedOn w:val="Normal"/>
    <w:link w:val="HTMLconformatoprevioCar"/>
    <w:uiPriority w:val="99"/>
    <w:semiHidden/>
    <w:unhideWhenUsed/>
    <w:rsid w:val="0003148D"/>
    <w:pPr>
      <w:spacing w:line="240" w:lineRule="auto"/>
    </w:pPr>
    <w:rPr>
      <w:rFonts w:ascii="Consolas" w:hAnsi="Consolas" w:cs="Consolas"/>
    </w:rPr>
  </w:style>
  <w:style w:type="character" w:customStyle="1" w:styleId="HTMLconformatoprevioCar">
    <w:name w:val="HTML con formato previo Car"/>
    <w:basedOn w:val="Fuentedeprrafopredeter"/>
    <w:link w:val="HTMLconformatoprevio"/>
    <w:uiPriority w:val="99"/>
    <w:semiHidden/>
    <w:rsid w:val="0003148D"/>
    <w:rPr>
      <w:rFonts w:ascii="Consolas" w:hAnsi="Consolas" w:cs="Consolas"/>
      <w:sz w:val="20"/>
      <w:szCs w:val="20"/>
    </w:rPr>
  </w:style>
  <w:style w:type="paragraph" w:styleId="Textoindependienteprimerasangra">
    <w:name w:val="Body Text First Indent"/>
    <w:basedOn w:val="Textoindependiente"/>
    <w:link w:val="TextoindependienteprimerasangraCar"/>
    <w:uiPriority w:val="99"/>
    <w:semiHidden/>
    <w:unhideWhenUsed/>
    <w:rsid w:val="0003148D"/>
    <w:pPr>
      <w:spacing w:after="200"/>
      <w:ind w:firstLine="360"/>
    </w:pPr>
  </w:style>
  <w:style w:type="character" w:customStyle="1" w:styleId="TextoindependienteprimerasangraCar">
    <w:name w:val="Texto independiente primera sangría Car"/>
    <w:basedOn w:val="TextoindependienteCar"/>
    <w:link w:val="Textoindependienteprimerasangra"/>
    <w:uiPriority w:val="99"/>
    <w:semiHidden/>
    <w:rsid w:val="0003148D"/>
  </w:style>
  <w:style w:type="paragraph" w:styleId="Sangradetextonormal">
    <w:name w:val="Body Text Indent"/>
    <w:basedOn w:val="Normal"/>
    <w:link w:val="SangradetextonormalCar"/>
    <w:uiPriority w:val="99"/>
    <w:semiHidden/>
    <w:unhideWhenUsed/>
    <w:rsid w:val="0003148D"/>
    <w:pPr>
      <w:spacing w:after="120"/>
      <w:ind w:left="283"/>
    </w:pPr>
  </w:style>
  <w:style w:type="character" w:customStyle="1" w:styleId="SangradetextonormalCar">
    <w:name w:val="Sangría de texto normal Car"/>
    <w:basedOn w:val="Fuentedeprrafopredeter"/>
    <w:link w:val="Sangradetextonormal"/>
    <w:uiPriority w:val="99"/>
    <w:semiHidden/>
    <w:rsid w:val="0003148D"/>
  </w:style>
  <w:style w:type="paragraph" w:styleId="Textoindependienteprimerasangra2">
    <w:name w:val="Body Text First Indent 2"/>
    <w:basedOn w:val="Sangradetextonormal"/>
    <w:link w:val="Textoindependienteprimerasangra2Car"/>
    <w:uiPriority w:val="99"/>
    <w:semiHidden/>
    <w:unhideWhenUsed/>
    <w:rsid w:val="0003148D"/>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semiHidden/>
    <w:rsid w:val="0003148D"/>
  </w:style>
  <w:style w:type="paragraph" w:styleId="Listaconvietas">
    <w:name w:val="List Bullet"/>
    <w:basedOn w:val="Normal"/>
    <w:uiPriority w:val="99"/>
    <w:semiHidden/>
    <w:unhideWhenUsed/>
    <w:rsid w:val="0003148D"/>
    <w:pPr>
      <w:numPr>
        <w:numId w:val="7"/>
      </w:numPr>
      <w:contextualSpacing/>
    </w:pPr>
  </w:style>
  <w:style w:type="paragraph" w:styleId="Listaconvietas2">
    <w:name w:val="List Bullet 2"/>
    <w:basedOn w:val="Normal"/>
    <w:uiPriority w:val="99"/>
    <w:semiHidden/>
    <w:unhideWhenUsed/>
    <w:rsid w:val="0003148D"/>
    <w:pPr>
      <w:numPr>
        <w:numId w:val="8"/>
      </w:numPr>
      <w:contextualSpacing/>
    </w:pPr>
  </w:style>
  <w:style w:type="paragraph" w:styleId="Listaconvietas3">
    <w:name w:val="List Bullet 3"/>
    <w:basedOn w:val="Normal"/>
    <w:uiPriority w:val="99"/>
    <w:semiHidden/>
    <w:unhideWhenUsed/>
    <w:rsid w:val="0003148D"/>
    <w:pPr>
      <w:numPr>
        <w:numId w:val="9"/>
      </w:numPr>
      <w:contextualSpacing/>
    </w:pPr>
  </w:style>
  <w:style w:type="paragraph" w:styleId="Listaconvietas4">
    <w:name w:val="List Bullet 4"/>
    <w:basedOn w:val="Normal"/>
    <w:uiPriority w:val="99"/>
    <w:semiHidden/>
    <w:unhideWhenUsed/>
    <w:rsid w:val="0003148D"/>
    <w:pPr>
      <w:numPr>
        <w:numId w:val="10"/>
      </w:numPr>
      <w:contextualSpacing/>
    </w:pPr>
  </w:style>
  <w:style w:type="paragraph" w:styleId="Listaconvietas5">
    <w:name w:val="List Bullet 5"/>
    <w:basedOn w:val="Normal"/>
    <w:uiPriority w:val="99"/>
    <w:semiHidden/>
    <w:unhideWhenUsed/>
    <w:rsid w:val="0003148D"/>
    <w:pPr>
      <w:numPr>
        <w:numId w:val="11"/>
      </w:numPr>
      <w:contextualSpacing/>
    </w:pPr>
  </w:style>
  <w:style w:type="paragraph" w:styleId="Sangra2detindependiente">
    <w:name w:val="Body Text Indent 2"/>
    <w:basedOn w:val="Normal"/>
    <w:link w:val="Sangra2detindependienteCar"/>
    <w:uiPriority w:val="99"/>
    <w:semiHidden/>
    <w:unhideWhenUsed/>
    <w:rsid w:val="0003148D"/>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03148D"/>
  </w:style>
  <w:style w:type="paragraph" w:styleId="Sangra3detindependiente">
    <w:name w:val="Body Text Indent 3"/>
    <w:basedOn w:val="Normal"/>
    <w:link w:val="Sangra3detindependienteCar"/>
    <w:uiPriority w:val="99"/>
    <w:semiHidden/>
    <w:unhideWhenUsed/>
    <w:rsid w:val="0003148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03148D"/>
    <w:rPr>
      <w:sz w:val="16"/>
      <w:szCs w:val="16"/>
    </w:rPr>
  </w:style>
  <w:style w:type="paragraph" w:styleId="Sangranormal">
    <w:name w:val="Normal Indent"/>
    <w:basedOn w:val="Normal"/>
    <w:uiPriority w:val="99"/>
    <w:semiHidden/>
    <w:unhideWhenUsed/>
    <w:rsid w:val="0003148D"/>
    <w:pPr>
      <w:ind w:left="720"/>
    </w:pPr>
  </w:style>
  <w:style w:type="paragraph" w:styleId="Textocomentario">
    <w:name w:val="annotation text"/>
    <w:basedOn w:val="Normal"/>
    <w:link w:val="TextocomentarioCar"/>
    <w:uiPriority w:val="99"/>
    <w:unhideWhenUsed/>
    <w:rsid w:val="0003148D"/>
    <w:pPr>
      <w:spacing w:line="240" w:lineRule="auto"/>
    </w:pPr>
  </w:style>
  <w:style w:type="character" w:customStyle="1" w:styleId="TextocomentarioCar">
    <w:name w:val="Texto comentario Car"/>
    <w:basedOn w:val="Fuentedeprrafopredeter"/>
    <w:link w:val="Textocomentario"/>
    <w:uiPriority w:val="99"/>
    <w:rsid w:val="0003148D"/>
    <w:rPr>
      <w:sz w:val="20"/>
      <w:szCs w:val="20"/>
    </w:rPr>
  </w:style>
  <w:style w:type="paragraph" w:styleId="Asuntodelcomentario">
    <w:name w:val="annotation subject"/>
    <w:basedOn w:val="Textocomentario"/>
    <w:next w:val="Textocomentario"/>
    <w:link w:val="AsuntodelcomentarioCar"/>
    <w:uiPriority w:val="99"/>
    <w:semiHidden/>
    <w:unhideWhenUsed/>
    <w:rsid w:val="0003148D"/>
    <w:rPr>
      <w:b/>
      <w:bCs/>
    </w:rPr>
  </w:style>
  <w:style w:type="character" w:customStyle="1" w:styleId="AsuntodelcomentarioCar">
    <w:name w:val="Asunto del comentario Car"/>
    <w:basedOn w:val="TextocomentarioCar"/>
    <w:link w:val="Asuntodelcomentario"/>
    <w:uiPriority w:val="99"/>
    <w:semiHidden/>
    <w:rsid w:val="0003148D"/>
    <w:rPr>
      <w:b/>
      <w:bCs/>
      <w:sz w:val="20"/>
      <w:szCs w:val="20"/>
    </w:rPr>
  </w:style>
  <w:style w:type="paragraph" w:styleId="TDC1">
    <w:name w:val="toc 1"/>
    <w:basedOn w:val="Normal"/>
    <w:next w:val="Normal"/>
    <w:autoRedefine/>
    <w:uiPriority w:val="39"/>
    <w:semiHidden/>
    <w:unhideWhenUsed/>
    <w:rsid w:val="0003148D"/>
    <w:pPr>
      <w:spacing w:after="100"/>
    </w:pPr>
  </w:style>
  <w:style w:type="paragraph" w:styleId="TDC2">
    <w:name w:val="toc 2"/>
    <w:basedOn w:val="Normal"/>
    <w:next w:val="Normal"/>
    <w:autoRedefine/>
    <w:uiPriority w:val="39"/>
    <w:semiHidden/>
    <w:unhideWhenUsed/>
    <w:rsid w:val="0003148D"/>
    <w:pPr>
      <w:spacing w:after="100"/>
      <w:ind w:left="220"/>
    </w:pPr>
  </w:style>
  <w:style w:type="paragraph" w:styleId="TDC3">
    <w:name w:val="toc 3"/>
    <w:basedOn w:val="Normal"/>
    <w:next w:val="Normal"/>
    <w:autoRedefine/>
    <w:uiPriority w:val="39"/>
    <w:semiHidden/>
    <w:unhideWhenUsed/>
    <w:rsid w:val="0003148D"/>
    <w:pPr>
      <w:spacing w:after="100"/>
      <w:ind w:left="440"/>
    </w:pPr>
  </w:style>
  <w:style w:type="paragraph" w:styleId="TDC4">
    <w:name w:val="toc 4"/>
    <w:basedOn w:val="Normal"/>
    <w:next w:val="Normal"/>
    <w:autoRedefine/>
    <w:uiPriority w:val="39"/>
    <w:semiHidden/>
    <w:unhideWhenUsed/>
    <w:rsid w:val="0003148D"/>
    <w:pPr>
      <w:spacing w:after="100"/>
      <w:ind w:left="660"/>
    </w:pPr>
  </w:style>
  <w:style w:type="paragraph" w:styleId="TDC5">
    <w:name w:val="toc 5"/>
    <w:basedOn w:val="Normal"/>
    <w:next w:val="Normal"/>
    <w:autoRedefine/>
    <w:uiPriority w:val="39"/>
    <w:semiHidden/>
    <w:unhideWhenUsed/>
    <w:rsid w:val="0003148D"/>
    <w:pPr>
      <w:spacing w:after="100"/>
      <w:ind w:left="880"/>
    </w:pPr>
  </w:style>
  <w:style w:type="paragraph" w:styleId="TDC6">
    <w:name w:val="toc 6"/>
    <w:basedOn w:val="Normal"/>
    <w:next w:val="Normal"/>
    <w:autoRedefine/>
    <w:uiPriority w:val="39"/>
    <w:semiHidden/>
    <w:unhideWhenUsed/>
    <w:rsid w:val="0003148D"/>
    <w:pPr>
      <w:spacing w:after="100"/>
      <w:ind w:left="1100"/>
    </w:pPr>
  </w:style>
  <w:style w:type="paragraph" w:styleId="TDC7">
    <w:name w:val="toc 7"/>
    <w:basedOn w:val="Normal"/>
    <w:next w:val="Normal"/>
    <w:autoRedefine/>
    <w:uiPriority w:val="39"/>
    <w:semiHidden/>
    <w:unhideWhenUsed/>
    <w:rsid w:val="0003148D"/>
    <w:pPr>
      <w:spacing w:after="100"/>
      <w:ind w:left="1320"/>
    </w:pPr>
  </w:style>
  <w:style w:type="paragraph" w:styleId="TDC8">
    <w:name w:val="toc 8"/>
    <w:basedOn w:val="Normal"/>
    <w:next w:val="Normal"/>
    <w:autoRedefine/>
    <w:uiPriority w:val="39"/>
    <w:semiHidden/>
    <w:unhideWhenUsed/>
    <w:rsid w:val="0003148D"/>
    <w:pPr>
      <w:spacing w:after="100"/>
      <w:ind w:left="1540"/>
    </w:pPr>
  </w:style>
  <w:style w:type="paragraph" w:styleId="TDC9">
    <w:name w:val="toc 9"/>
    <w:basedOn w:val="Normal"/>
    <w:next w:val="Normal"/>
    <w:autoRedefine/>
    <w:uiPriority w:val="39"/>
    <w:semiHidden/>
    <w:unhideWhenUsed/>
    <w:rsid w:val="0003148D"/>
    <w:pPr>
      <w:spacing w:after="100"/>
      <w:ind w:left="1760"/>
    </w:pPr>
  </w:style>
  <w:style w:type="paragraph" w:styleId="Textodebloque">
    <w:name w:val="Block Text"/>
    <w:basedOn w:val="Normal"/>
    <w:uiPriority w:val="99"/>
    <w:semiHidden/>
    <w:unhideWhenUsed/>
    <w:rsid w:val="0003148D"/>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Textomacro">
    <w:name w:val="macro"/>
    <w:link w:val="TextomacroCar"/>
    <w:uiPriority w:val="99"/>
    <w:semiHidden/>
    <w:unhideWhenUsed/>
    <w:rsid w:val="0003148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cs="Consolas"/>
      <w:sz w:val="20"/>
      <w:szCs w:val="20"/>
    </w:rPr>
  </w:style>
  <w:style w:type="character" w:customStyle="1" w:styleId="TextomacroCar">
    <w:name w:val="Texto macro Car"/>
    <w:basedOn w:val="Fuentedeprrafopredeter"/>
    <w:link w:val="Textomacro"/>
    <w:uiPriority w:val="99"/>
    <w:semiHidden/>
    <w:rsid w:val="0003148D"/>
    <w:rPr>
      <w:rFonts w:ascii="Consolas" w:hAnsi="Consolas" w:cs="Consolas"/>
      <w:sz w:val="20"/>
      <w:szCs w:val="20"/>
    </w:rPr>
  </w:style>
  <w:style w:type="paragraph" w:styleId="Textosinformato">
    <w:name w:val="Plain Text"/>
    <w:basedOn w:val="Normal"/>
    <w:link w:val="TextosinformatoCar"/>
    <w:uiPriority w:val="99"/>
    <w:semiHidden/>
    <w:unhideWhenUsed/>
    <w:rsid w:val="0003148D"/>
    <w:pPr>
      <w:spacing w:line="240" w:lineRule="auto"/>
    </w:pPr>
    <w:rPr>
      <w:rFonts w:ascii="Consolas" w:hAnsi="Consolas" w:cs="Consolas"/>
      <w:sz w:val="21"/>
      <w:szCs w:val="21"/>
    </w:rPr>
  </w:style>
  <w:style w:type="character" w:customStyle="1" w:styleId="TextosinformatoCar">
    <w:name w:val="Texto sin formato Car"/>
    <w:basedOn w:val="Fuentedeprrafopredeter"/>
    <w:link w:val="Textosinformato"/>
    <w:uiPriority w:val="99"/>
    <w:semiHidden/>
    <w:rsid w:val="0003148D"/>
    <w:rPr>
      <w:rFonts w:ascii="Consolas" w:hAnsi="Consolas" w:cs="Consolas"/>
      <w:sz w:val="21"/>
      <w:szCs w:val="21"/>
    </w:rPr>
  </w:style>
  <w:style w:type="paragraph" w:styleId="Textonotapie">
    <w:name w:val="footnote text"/>
    <w:basedOn w:val="Normal"/>
    <w:link w:val="TextonotapieCar"/>
    <w:uiPriority w:val="99"/>
    <w:semiHidden/>
    <w:unhideWhenUsed/>
    <w:rsid w:val="0003148D"/>
    <w:pPr>
      <w:spacing w:line="240" w:lineRule="auto"/>
    </w:pPr>
  </w:style>
  <w:style w:type="character" w:customStyle="1" w:styleId="TextonotapieCar">
    <w:name w:val="Texto nota pie Car"/>
    <w:basedOn w:val="Fuentedeprrafopredeter"/>
    <w:link w:val="Textonotapie"/>
    <w:uiPriority w:val="99"/>
    <w:semiHidden/>
    <w:rsid w:val="0003148D"/>
    <w:rPr>
      <w:sz w:val="20"/>
      <w:szCs w:val="20"/>
    </w:rPr>
  </w:style>
  <w:style w:type="paragraph" w:styleId="Textonotaalfinal">
    <w:name w:val="endnote text"/>
    <w:basedOn w:val="Normal"/>
    <w:link w:val="TextonotaalfinalCar"/>
    <w:uiPriority w:val="99"/>
    <w:semiHidden/>
    <w:unhideWhenUsed/>
    <w:rsid w:val="0003148D"/>
    <w:pPr>
      <w:spacing w:line="240" w:lineRule="auto"/>
    </w:pPr>
  </w:style>
  <w:style w:type="character" w:customStyle="1" w:styleId="TextonotaalfinalCar">
    <w:name w:val="Texto nota al final Car"/>
    <w:basedOn w:val="Fuentedeprrafopredeter"/>
    <w:link w:val="Textonotaalfinal"/>
    <w:uiPriority w:val="99"/>
    <w:semiHidden/>
    <w:rsid w:val="0003148D"/>
    <w:rPr>
      <w:sz w:val="20"/>
      <w:szCs w:val="20"/>
    </w:rPr>
  </w:style>
  <w:style w:type="character" w:customStyle="1" w:styleId="Ttulo1Car">
    <w:name w:val="Título 1 Car"/>
    <w:basedOn w:val="Fuentedeprrafopredeter"/>
    <w:link w:val="Ttulo1"/>
    <w:uiPriority w:val="9"/>
    <w:rsid w:val="004F5E36"/>
    <w:rPr>
      <w:rFonts w:ascii="Arial" w:eastAsia="Times New Roman" w:hAnsi="Arial" w:cs="Times New Roman"/>
      <w:b/>
      <w:sz w:val="20"/>
      <w:szCs w:val="20"/>
      <w:lang w:val="en-GB"/>
    </w:rPr>
  </w:style>
  <w:style w:type="character" w:customStyle="1" w:styleId="Ttulo2Car">
    <w:name w:val="Título 2 Car"/>
    <w:basedOn w:val="Fuentedeprrafopredeter"/>
    <w:link w:val="Ttulo2"/>
    <w:uiPriority w:val="9"/>
    <w:semiHidden/>
    <w:rsid w:val="0003148D"/>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03148D"/>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03148D"/>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03148D"/>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03148D"/>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03148D"/>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03148D"/>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03148D"/>
    <w:rPr>
      <w:rFonts w:asciiTheme="majorHAnsi" w:eastAsiaTheme="majorEastAsia" w:hAnsiTheme="majorHAnsi" w:cstheme="majorBidi"/>
      <w:i/>
      <w:iCs/>
      <w:color w:val="404040" w:themeColor="text1" w:themeTint="BF"/>
      <w:sz w:val="20"/>
      <w:szCs w:val="20"/>
    </w:rPr>
  </w:style>
  <w:style w:type="paragraph" w:styleId="Ttulodendice">
    <w:name w:val="index heading"/>
    <w:basedOn w:val="Normal"/>
    <w:next w:val="ndice1"/>
    <w:uiPriority w:val="99"/>
    <w:semiHidden/>
    <w:unhideWhenUsed/>
    <w:rsid w:val="0003148D"/>
    <w:rPr>
      <w:rFonts w:asciiTheme="majorHAnsi" w:eastAsiaTheme="majorEastAsia" w:hAnsiTheme="majorHAnsi" w:cstheme="majorBidi"/>
      <w:b/>
      <w:bCs/>
    </w:rPr>
  </w:style>
  <w:style w:type="paragraph" w:styleId="Encabezadodelista">
    <w:name w:val="toa heading"/>
    <w:basedOn w:val="Normal"/>
    <w:next w:val="Normal"/>
    <w:uiPriority w:val="99"/>
    <w:semiHidden/>
    <w:unhideWhenUsed/>
    <w:rsid w:val="0003148D"/>
    <w:pPr>
      <w:spacing w:before="120"/>
    </w:pPr>
    <w:rPr>
      <w:rFonts w:asciiTheme="majorHAnsi" w:eastAsiaTheme="majorEastAsia" w:hAnsiTheme="majorHAnsi" w:cstheme="majorBidi"/>
      <w:b/>
      <w:bCs/>
      <w:sz w:val="24"/>
      <w:szCs w:val="24"/>
    </w:rPr>
  </w:style>
  <w:style w:type="paragraph" w:styleId="TtulodeTDC">
    <w:name w:val="TOC Heading"/>
    <w:basedOn w:val="Ttulo1"/>
    <w:next w:val="Normal"/>
    <w:uiPriority w:val="39"/>
    <w:semiHidden/>
    <w:unhideWhenUsed/>
    <w:qFormat/>
    <w:rsid w:val="0003148D"/>
    <w:pPr>
      <w:outlineLvl w:val="9"/>
    </w:pPr>
  </w:style>
  <w:style w:type="paragraph" w:customStyle="1" w:styleId="CETemail">
    <w:name w:val="CET email"/>
    <w:next w:val="CETBodytext"/>
    <w:rsid w:val="009E788A"/>
    <w:pPr>
      <w:spacing w:after="240"/>
    </w:pPr>
    <w:rPr>
      <w:rFonts w:ascii="Arial" w:eastAsia="Times New Roman" w:hAnsi="Arial" w:cs="Times New Roman"/>
      <w:noProof/>
      <w:sz w:val="16"/>
      <w:szCs w:val="20"/>
      <w:lang w:val="en-GB"/>
    </w:rPr>
  </w:style>
  <w:style w:type="character" w:customStyle="1" w:styleId="CETAddressCarattere">
    <w:name w:val="CET Address Carattere"/>
    <w:basedOn w:val="Fuentedeprrafopredeter"/>
    <w:link w:val="CETAddress"/>
    <w:rsid w:val="009E788A"/>
    <w:rPr>
      <w:rFonts w:ascii="Arial" w:eastAsia="Times New Roman" w:hAnsi="Arial" w:cs="Times New Roman"/>
      <w:noProof/>
      <w:sz w:val="16"/>
      <w:szCs w:val="20"/>
      <w:lang w:val="en-GB"/>
    </w:rPr>
  </w:style>
  <w:style w:type="paragraph" w:customStyle="1" w:styleId="CETBodytextBold">
    <w:name w:val="CET Body text (Bold)"/>
    <w:basedOn w:val="CETBodytext"/>
    <w:rsid w:val="00901EB6"/>
    <w:rPr>
      <w:b/>
    </w:rPr>
  </w:style>
  <w:style w:type="paragraph" w:customStyle="1" w:styleId="CETnumberingbullets">
    <w:name w:val="CET numbering (bullets)"/>
    <w:rsid w:val="008D433B"/>
    <w:pPr>
      <w:numPr>
        <w:numId w:val="13"/>
      </w:numPr>
      <w:spacing w:after="0" w:line="264" w:lineRule="auto"/>
    </w:pPr>
    <w:rPr>
      <w:rFonts w:ascii="Arial" w:eastAsia="Times New Roman" w:hAnsi="Arial" w:cs="Times New Roman"/>
      <w:sz w:val="18"/>
      <w:szCs w:val="20"/>
      <w:lang w:val="en-GB"/>
    </w:rPr>
  </w:style>
  <w:style w:type="paragraph" w:customStyle="1" w:styleId="CETnumbering1">
    <w:name w:val="CET numbering (1"/>
    <w:aliases w:val="2..)"/>
    <w:rsid w:val="00B57B36"/>
    <w:pPr>
      <w:numPr>
        <w:numId w:val="14"/>
      </w:numPr>
      <w:spacing w:after="0" w:line="264" w:lineRule="auto"/>
      <w:ind w:left="340" w:hanging="227"/>
    </w:pPr>
    <w:rPr>
      <w:rFonts w:ascii="Arial" w:eastAsia="Times New Roman" w:hAnsi="Arial" w:cs="Times New Roman"/>
      <w:sz w:val="18"/>
      <w:szCs w:val="20"/>
      <w:lang w:val="en-US"/>
    </w:rPr>
  </w:style>
  <w:style w:type="paragraph" w:customStyle="1" w:styleId="CETnumberinga">
    <w:name w:val="CET numbering (a"/>
    <w:aliases w:val="b,..)"/>
    <w:rsid w:val="00B57B36"/>
    <w:pPr>
      <w:numPr>
        <w:numId w:val="15"/>
      </w:numPr>
      <w:spacing w:after="0" w:line="264" w:lineRule="auto"/>
    </w:pPr>
    <w:rPr>
      <w:rFonts w:ascii="Arial" w:eastAsia="Times New Roman" w:hAnsi="Arial" w:cs="Times New Roman"/>
      <w:sz w:val="18"/>
      <w:szCs w:val="20"/>
      <w:lang w:val="en-GB"/>
    </w:rPr>
  </w:style>
  <w:style w:type="paragraph" w:styleId="Encabezado">
    <w:name w:val="header"/>
    <w:basedOn w:val="Normal"/>
    <w:link w:val="EncabezadoCar"/>
    <w:uiPriority w:val="99"/>
    <w:unhideWhenUsed/>
    <w:rsid w:val="005278B7"/>
    <w:pPr>
      <w:tabs>
        <w:tab w:val="clear" w:pos="7100"/>
        <w:tab w:val="center" w:pos="4819"/>
        <w:tab w:val="right" w:pos="9638"/>
      </w:tabs>
      <w:spacing w:line="240" w:lineRule="auto"/>
    </w:pPr>
  </w:style>
  <w:style w:type="character" w:customStyle="1" w:styleId="EncabezadoCar">
    <w:name w:val="Encabezado Car"/>
    <w:basedOn w:val="Fuentedeprrafopredeter"/>
    <w:link w:val="Encabezado"/>
    <w:uiPriority w:val="99"/>
    <w:rsid w:val="005278B7"/>
    <w:rPr>
      <w:rFonts w:ascii="Arial" w:eastAsia="Times New Roman" w:hAnsi="Arial" w:cs="Times New Roman"/>
      <w:sz w:val="18"/>
      <w:szCs w:val="20"/>
      <w:lang w:val="en-GB"/>
    </w:rPr>
  </w:style>
  <w:style w:type="paragraph" w:styleId="Piedepgina">
    <w:name w:val="footer"/>
    <w:basedOn w:val="Normal"/>
    <w:link w:val="PiedepginaCar"/>
    <w:uiPriority w:val="99"/>
    <w:unhideWhenUsed/>
    <w:rsid w:val="005278B7"/>
    <w:pPr>
      <w:tabs>
        <w:tab w:val="clear" w:pos="7100"/>
        <w:tab w:val="center" w:pos="4819"/>
        <w:tab w:val="right" w:pos="9638"/>
      </w:tabs>
      <w:spacing w:line="240" w:lineRule="auto"/>
    </w:pPr>
  </w:style>
  <w:style w:type="character" w:customStyle="1" w:styleId="PiedepginaCar">
    <w:name w:val="Pie de página Car"/>
    <w:basedOn w:val="Fuentedeprrafopredeter"/>
    <w:link w:val="Piedepgina"/>
    <w:uiPriority w:val="99"/>
    <w:rsid w:val="005278B7"/>
    <w:rPr>
      <w:rFonts w:ascii="Arial" w:eastAsia="Times New Roman" w:hAnsi="Arial" w:cs="Times New Roman"/>
      <w:sz w:val="18"/>
      <w:szCs w:val="20"/>
      <w:lang w:val="en-GB"/>
    </w:rPr>
  </w:style>
  <w:style w:type="table" w:styleId="Tablaconcuadrcula">
    <w:name w:val="Table Grid"/>
    <w:basedOn w:val="Tablanormal"/>
    <w:uiPriority w:val="59"/>
    <w:rsid w:val="00660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904C62"/>
    <w:rPr>
      <w:color w:val="0000FF" w:themeColor="hyperlink"/>
      <w:u w:val="single"/>
    </w:rPr>
  </w:style>
  <w:style w:type="character" w:customStyle="1" w:styleId="eudoraheader">
    <w:name w:val="eudoraheader"/>
    <w:basedOn w:val="Fuentedeprrafopredeter"/>
    <w:rsid w:val="00904C62"/>
  </w:style>
  <w:style w:type="paragraph" w:customStyle="1" w:styleId="CETListbullets">
    <w:name w:val="CET List bullets"/>
    <w:qFormat/>
    <w:rsid w:val="004577FE"/>
    <w:pPr>
      <w:spacing w:after="0" w:line="264" w:lineRule="auto"/>
      <w:ind w:left="340" w:hanging="227"/>
      <w:jc w:val="both"/>
    </w:pPr>
    <w:rPr>
      <w:rFonts w:ascii="Arial" w:eastAsia="Times New Roman" w:hAnsi="Arial" w:cs="Times New Roman"/>
      <w:sz w:val="18"/>
      <w:szCs w:val="20"/>
      <w:lang w:val="en-GB"/>
    </w:rPr>
  </w:style>
  <w:style w:type="paragraph" w:customStyle="1" w:styleId="CETReferencetext">
    <w:name w:val="CET Reference text"/>
    <w:qFormat/>
    <w:rsid w:val="00600535"/>
    <w:pPr>
      <w:spacing w:after="0" w:line="264" w:lineRule="auto"/>
      <w:ind w:left="284" w:hanging="284"/>
      <w:jc w:val="both"/>
    </w:pPr>
    <w:rPr>
      <w:rFonts w:ascii="Arial" w:eastAsia="Times New Roman" w:hAnsi="Arial" w:cs="Times New Roman"/>
      <w:sz w:val="18"/>
      <w:szCs w:val="20"/>
      <w:lang w:val="en-GB"/>
    </w:rPr>
  </w:style>
  <w:style w:type="paragraph" w:customStyle="1" w:styleId="CETTabletitle">
    <w:name w:val="CET Table title"/>
    <w:qFormat/>
    <w:rsid w:val="00600535"/>
    <w:pPr>
      <w:keepNext/>
      <w:spacing w:before="240" w:after="80" w:line="240" w:lineRule="exact"/>
    </w:pPr>
    <w:rPr>
      <w:rFonts w:ascii="Arial" w:eastAsia="Times New Roman" w:hAnsi="Arial" w:cs="Times New Roman"/>
      <w:i/>
      <w:sz w:val="18"/>
      <w:szCs w:val="20"/>
      <w:lang w:val="en-GB"/>
    </w:rPr>
  </w:style>
  <w:style w:type="paragraph" w:customStyle="1" w:styleId="CETAcknowledgementstitle">
    <w:name w:val="CET Acknowledgements title"/>
    <w:next w:val="CETBodytext"/>
    <w:qFormat/>
    <w:rsid w:val="00600535"/>
    <w:pPr>
      <w:spacing w:before="200" w:after="120"/>
    </w:pPr>
    <w:rPr>
      <w:rFonts w:ascii="Arial" w:eastAsia="Times New Roman" w:hAnsi="Arial" w:cs="Times New Roman"/>
      <w:b/>
      <w:sz w:val="18"/>
      <w:szCs w:val="20"/>
      <w:lang w:val="en-GB"/>
    </w:rPr>
  </w:style>
  <w:style w:type="paragraph" w:customStyle="1" w:styleId="CETEquation">
    <w:name w:val="CET Equation"/>
    <w:basedOn w:val="CETBodytext"/>
    <w:next w:val="CETBodytext"/>
    <w:qFormat/>
    <w:rsid w:val="00600535"/>
    <w:pPr>
      <w:spacing w:before="120" w:after="120"/>
      <w:jc w:val="left"/>
    </w:pPr>
    <w:rPr>
      <w:lang w:val="en-GB"/>
    </w:rPr>
  </w:style>
  <w:style w:type="paragraph" w:customStyle="1" w:styleId="CETHeadingxx">
    <w:name w:val="CET Headingxx"/>
    <w:basedOn w:val="CETheadingx"/>
    <w:link w:val="CETHeadingxxChar"/>
    <w:qFormat/>
    <w:rsid w:val="000F787B"/>
    <w:pPr>
      <w:numPr>
        <w:ilvl w:val="0"/>
        <w:numId w:val="0"/>
      </w:numPr>
    </w:pPr>
  </w:style>
  <w:style w:type="character" w:customStyle="1" w:styleId="CETHeadingxxChar">
    <w:name w:val="CET Headingxx Char"/>
    <w:basedOn w:val="CETheadingxCarattere"/>
    <w:link w:val="CETHeadingxx"/>
    <w:rsid w:val="000F787B"/>
    <w:rPr>
      <w:rFonts w:ascii="Arial" w:eastAsia="Times New Roman" w:hAnsi="Arial" w:cs="Times New Roman"/>
      <w:b/>
      <w:sz w:val="18"/>
      <w:szCs w:val="20"/>
      <w:lang w:val="en-US"/>
    </w:rPr>
  </w:style>
  <w:style w:type="paragraph" w:styleId="Prrafodelista">
    <w:name w:val="List Paragraph"/>
    <w:basedOn w:val="Normal"/>
    <w:uiPriority w:val="34"/>
    <w:qFormat/>
    <w:rsid w:val="00280FAF"/>
    <w:pPr>
      <w:ind w:left="720"/>
      <w:contextualSpacing/>
    </w:pPr>
  </w:style>
  <w:style w:type="character" w:customStyle="1" w:styleId="gmail-apple-converted-space">
    <w:name w:val="gmail-apple-converted-space"/>
    <w:basedOn w:val="Fuentedeprrafopredeter"/>
    <w:rsid w:val="00005A19"/>
  </w:style>
  <w:style w:type="character" w:styleId="nfasis">
    <w:name w:val="Emphasis"/>
    <w:basedOn w:val="Fuentedeprrafopredeter"/>
    <w:uiPriority w:val="20"/>
    <w:qFormat/>
    <w:rsid w:val="00447CCE"/>
    <w:rPr>
      <w:i/>
      <w:iCs/>
    </w:rPr>
  </w:style>
  <w:style w:type="paragraph" w:styleId="Revisin">
    <w:name w:val="Revision"/>
    <w:hidden/>
    <w:uiPriority w:val="99"/>
    <w:semiHidden/>
    <w:rsid w:val="00607F79"/>
    <w:pPr>
      <w:spacing w:after="0" w:line="240" w:lineRule="auto"/>
    </w:pPr>
    <w:rPr>
      <w:rFonts w:ascii="Arial" w:eastAsia="Times New Roman" w:hAnsi="Arial" w:cs="Times New Roman"/>
      <w:sz w:val="18"/>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0609195">
      <w:bodyDiv w:val="1"/>
      <w:marLeft w:val="0"/>
      <w:marRight w:val="0"/>
      <w:marTop w:val="0"/>
      <w:marBottom w:val="0"/>
      <w:divBdr>
        <w:top w:val="none" w:sz="0" w:space="0" w:color="auto"/>
        <w:left w:val="none" w:sz="0" w:space="0" w:color="auto"/>
        <w:bottom w:val="none" w:sz="0" w:space="0" w:color="auto"/>
        <w:right w:val="none" w:sz="0" w:space="0" w:color="auto"/>
      </w:divBdr>
      <w:divsChild>
        <w:div w:id="1810825834">
          <w:marLeft w:val="0"/>
          <w:marRight w:val="0"/>
          <w:marTop w:val="0"/>
          <w:marBottom w:val="0"/>
          <w:divBdr>
            <w:top w:val="none" w:sz="0" w:space="0" w:color="auto"/>
            <w:left w:val="none" w:sz="0" w:space="0" w:color="auto"/>
            <w:bottom w:val="none" w:sz="0" w:space="0" w:color="auto"/>
            <w:right w:val="none" w:sz="0" w:space="0" w:color="auto"/>
          </w:divBdr>
          <w:divsChild>
            <w:div w:id="57883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3321189">
      <w:bodyDiv w:val="1"/>
      <w:marLeft w:val="0"/>
      <w:marRight w:val="0"/>
      <w:marTop w:val="0"/>
      <w:marBottom w:val="0"/>
      <w:divBdr>
        <w:top w:val="none" w:sz="0" w:space="0" w:color="auto"/>
        <w:left w:val="none" w:sz="0" w:space="0" w:color="auto"/>
        <w:bottom w:val="none" w:sz="0" w:space="0" w:color="auto"/>
        <w:right w:val="none" w:sz="0" w:space="0" w:color="auto"/>
      </w:divBdr>
      <w:divsChild>
        <w:div w:id="19673504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33056226">
      <w:bodyDiv w:val="1"/>
      <w:marLeft w:val="0"/>
      <w:marRight w:val="0"/>
      <w:marTop w:val="0"/>
      <w:marBottom w:val="0"/>
      <w:divBdr>
        <w:top w:val="none" w:sz="0" w:space="0" w:color="auto"/>
        <w:left w:val="none" w:sz="0" w:space="0" w:color="auto"/>
        <w:bottom w:val="none" w:sz="0" w:space="0" w:color="auto"/>
        <w:right w:val="none" w:sz="0" w:space="0" w:color="auto"/>
      </w:divBdr>
      <w:divsChild>
        <w:div w:id="790123951">
          <w:marLeft w:val="0"/>
          <w:marRight w:val="0"/>
          <w:marTop w:val="0"/>
          <w:marBottom w:val="0"/>
          <w:divBdr>
            <w:top w:val="none" w:sz="0" w:space="0" w:color="auto"/>
            <w:left w:val="none" w:sz="0" w:space="0" w:color="auto"/>
            <w:bottom w:val="none" w:sz="0" w:space="0" w:color="auto"/>
            <w:right w:val="none" w:sz="0" w:space="0" w:color="auto"/>
          </w:divBdr>
          <w:divsChild>
            <w:div w:id="1821461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156813">
      <w:bodyDiv w:val="1"/>
      <w:marLeft w:val="0"/>
      <w:marRight w:val="0"/>
      <w:marTop w:val="0"/>
      <w:marBottom w:val="0"/>
      <w:divBdr>
        <w:top w:val="none" w:sz="0" w:space="0" w:color="auto"/>
        <w:left w:val="none" w:sz="0" w:space="0" w:color="auto"/>
        <w:bottom w:val="none" w:sz="0" w:space="0" w:color="auto"/>
        <w:right w:val="none" w:sz="0" w:space="0" w:color="auto"/>
      </w:divBdr>
    </w:div>
    <w:div w:id="1489904563">
      <w:bodyDiv w:val="1"/>
      <w:marLeft w:val="0"/>
      <w:marRight w:val="0"/>
      <w:marTop w:val="0"/>
      <w:marBottom w:val="0"/>
      <w:divBdr>
        <w:top w:val="none" w:sz="0" w:space="0" w:color="auto"/>
        <w:left w:val="none" w:sz="0" w:space="0" w:color="auto"/>
        <w:bottom w:val="none" w:sz="0" w:space="0" w:color="auto"/>
        <w:right w:val="none" w:sz="0" w:space="0" w:color="auto"/>
      </w:divBdr>
    </w:div>
    <w:div w:id="1682856157">
      <w:bodyDiv w:val="1"/>
      <w:marLeft w:val="0"/>
      <w:marRight w:val="0"/>
      <w:marTop w:val="0"/>
      <w:marBottom w:val="0"/>
      <w:divBdr>
        <w:top w:val="none" w:sz="0" w:space="0" w:color="auto"/>
        <w:left w:val="none" w:sz="0" w:space="0" w:color="auto"/>
        <w:bottom w:val="none" w:sz="0" w:space="0" w:color="auto"/>
        <w:right w:val="none" w:sz="0" w:space="0" w:color="auto"/>
      </w:divBdr>
      <w:divsChild>
        <w:div w:id="2102991222">
          <w:marLeft w:val="0"/>
          <w:marRight w:val="0"/>
          <w:marTop w:val="0"/>
          <w:marBottom w:val="0"/>
          <w:divBdr>
            <w:top w:val="none" w:sz="0" w:space="0" w:color="auto"/>
            <w:left w:val="none" w:sz="0" w:space="0" w:color="auto"/>
            <w:bottom w:val="none" w:sz="0" w:space="0" w:color="auto"/>
            <w:right w:val="none" w:sz="0" w:space="0" w:color="auto"/>
          </w:divBdr>
          <w:divsChild>
            <w:div w:id="10890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599">
      <w:bodyDiv w:val="1"/>
      <w:marLeft w:val="0"/>
      <w:marRight w:val="0"/>
      <w:marTop w:val="0"/>
      <w:marBottom w:val="0"/>
      <w:divBdr>
        <w:top w:val="none" w:sz="0" w:space="0" w:color="auto"/>
        <w:left w:val="none" w:sz="0" w:space="0" w:color="auto"/>
        <w:bottom w:val="none" w:sz="0" w:space="0" w:color="auto"/>
        <w:right w:val="none" w:sz="0" w:space="0" w:color="auto"/>
      </w:divBdr>
      <w:divsChild>
        <w:div w:id="15006597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charts/_rels/chart1.xml.rels><?xml version="1.0" encoding="UTF-8" standalone="yes"?>
<Relationships xmlns="http://schemas.openxmlformats.org/package/2006/relationships"><Relationship Id="rId3" Type="http://schemas.openxmlformats.org/officeDocument/2006/relationships/oleObject" Target="file:///C:\Users\Admin_CIEMAT\Dropbox\SUSHy%20Project\WorkPackage_2-Incidents\Task%202.1.4%20-%20An&#225;lisis%20incidentes\cuantificaci&#243;n-piloto.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s-E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explosion val="16"/>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A2D1-4F4F-832C-6E024B7E21FA}"/>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3-A2D1-4F4F-832C-6E024B7E21FA}"/>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A2D1-4F4F-832C-6E024B7E21FA}"/>
              </c:ext>
            </c:extLst>
          </c:dPt>
          <c:dPt>
            <c:idx val="3"/>
            <c:bubble3D val="0"/>
            <c:spPr>
              <a:solidFill>
                <a:schemeClr val="accent4"/>
              </a:solidFill>
              <a:ln w="19050">
                <a:solidFill>
                  <a:schemeClr val="lt1"/>
                </a:solidFill>
              </a:ln>
              <a:effectLst/>
            </c:spPr>
            <c:extLst xmlns:c16r2="http://schemas.microsoft.com/office/drawing/2015/06/chart">
              <c:ext xmlns:c16="http://schemas.microsoft.com/office/drawing/2014/chart" uri="{C3380CC4-5D6E-409C-BE32-E72D297353CC}">
                <c16:uniqueId val="{00000007-A2D1-4F4F-832C-6E024B7E21FA}"/>
              </c:ext>
            </c:extLst>
          </c:dPt>
          <c:dPt>
            <c:idx val="4"/>
            <c:bubble3D val="0"/>
            <c:spPr>
              <a:solidFill>
                <a:schemeClr val="accent5"/>
              </a:solidFill>
              <a:ln w="19050">
                <a:solidFill>
                  <a:schemeClr val="lt1"/>
                </a:solidFill>
              </a:ln>
              <a:effectLst/>
            </c:spPr>
            <c:extLst xmlns:c16r2="http://schemas.microsoft.com/office/drawing/2015/06/chart">
              <c:ext xmlns:c16="http://schemas.microsoft.com/office/drawing/2014/chart" uri="{C3380CC4-5D6E-409C-BE32-E72D297353CC}">
                <c16:uniqueId val="{00000009-A2D1-4F4F-832C-6E024B7E21FA}"/>
              </c:ext>
            </c:extLst>
          </c:dPt>
          <c:dPt>
            <c:idx val="5"/>
            <c:bubble3D val="0"/>
            <c:spPr>
              <a:solidFill>
                <a:schemeClr val="accent6"/>
              </a:solidFill>
              <a:ln w="19050">
                <a:solidFill>
                  <a:schemeClr val="lt1"/>
                </a:solidFill>
              </a:ln>
              <a:effectLst/>
            </c:spPr>
            <c:extLst xmlns:c16r2="http://schemas.microsoft.com/office/drawing/2015/06/chart">
              <c:ext xmlns:c16="http://schemas.microsoft.com/office/drawing/2014/chart" uri="{C3380CC4-5D6E-409C-BE32-E72D297353CC}">
                <c16:uniqueId val="{0000000B-A2D1-4F4F-832C-6E024B7E21FA}"/>
              </c:ext>
            </c:extLst>
          </c:dPt>
          <c:dLbls>
            <c:spPr>
              <a:noFill/>
              <a:ln>
                <a:noFill/>
              </a:ln>
              <a:effectLst/>
            </c:spPr>
            <c:txPr>
              <a:bodyPr rot="0" spcFirstLastPara="1" vertOverflow="ellipsis" vert="horz" wrap="square" anchor="ctr" anchorCtr="1"/>
              <a:lstStyle/>
              <a:p>
                <a:pPr>
                  <a:defRPr lang="ja-JP" sz="7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showLegendKey val="0"/>
            <c:showVal val="0"/>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Quesito!$A$15:$A$20</c:f>
              <c:strCache>
                <c:ptCount val="6"/>
                <c:pt idx="0">
                  <c:v>Design and development</c:v>
                </c:pt>
                <c:pt idx="1">
                  <c:v>Concepts and requirements</c:v>
                </c:pt>
                <c:pt idx="2">
                  <c:v>Performance errors</c:v>
                </c:pt>
                <c:pt idx="3">
                  <c:v>Failure by third part</c:v>
                </c:pt>
                <c:pt idx="4">
                  <c:v>Inspection planning</c:v>
                </c:pt>
                <c:pt idx="5">
                  <c:v>Maintenance plannig</c:v>
                </c:pt>
              </c:strCache>
            </c:strRef>
          </c:cat>
          <c:val>
            <c:numRef>
              <c:f>Quesito!$B$15:$B$20</c:f>
              <c:numCache>
                <c:formatCode>General</c:formatCode>
                <c:ptCount val="6"/>
                <c:pt idx="0">
                  <c:v>6</c:v>
                </c:pt>
                <c:pt idx="1">
                  <c:v>2</c:v>
                </c:pt>
                <c:pt idx="2">
                  <c:v>2</c:v>
                </c:pt>
                <c:pt idx="3">
                  <c:v>1</c:v>
                </c:pt>
                <c:pt idx="4">
                  <c:v>1</c:v>
                </c:pt>
                <c:pt idx="5">
                  <c:v>1</c:v>
                </c:pt>
              </c:numCache>
            </c:numRef>
          </c:val>
          <c:extLst xmlns:c16r2="http://schemas.microsoft.com/office/drawing/2015/06/chart">
            <c:ext xmlns:c16="http://schemas.microsoft.com/office/drawing/2014/chart" uri="{C3380CC4-5D6E-409C-BE32-E72D297353CC}">
              <c16:uniqueId val="{0000000C-A2D1-4F4F-832C-6E024B7E21FA}"/>
            </c:ext>
          </c:extLst>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Entry>
      <c:legendEntry>
        <c:idx val="1"/>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Entry>
      <c:legendEntry>
        <c:idx val="2"/>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Entry>
      <c:legendEntry>
        <c:idx val="3"/>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Entry>
      <c:legendEntry>
        <c:idx val="4"/>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Entry>
      <c:legendEntry>
        <c:idx val="5"/>
        <c:txPr>
          <a:bodyPr rot="0" spcFirstLastPara="1" vertOverflow="ellipsis" vert="horz" wrap="square" anchor="ctr" anchorCtr="1"/>
          <a:lstStyle/>
          <a:p>
            <a:pPr>
              <a:defRPr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Entry>
      <c:layout>
        <c:manualLayout>
          <c:xMode val="edge"/>
          <c:yMode val="edge"/>
          <c:x val="0.59511438839716679"/>
          <c:y val="0.15210605003488489"/>
          <c:w val="0.35284749865854731"/>
          <c:h val="0.7594244810307802"/>
        </c:manualLayout>
      </c:layout>
      <c:overlay val="0"/>
      <c:spPr>
        <a:noFill/>
        <a:ln>
          <a:noFill/>
        </a:ln>
        <a:effectLst/>
      </c:spPr>
      <c:txPr>
        <a:bodyPr rot="0" spcFirstLastPara="1" vertOverflow="ellipsis" vert="horz" wrap="square" anchor="ctr" anchorCtr="1"/>
        <a:lstStyle/>
        <a:p>
          <a:pPr>
            <a:defRPr lang="ja-JP" sz="8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s-E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900">
          <a:solidFill>
            <a:sysClr val="windowText" lastClr="000000"/>
          </a:solidFill>
          <a:latin typeface="Arial" panose="020B0604020202020204" pitchFamily="34" charset="0"/>
          <a:cs typeface="Arial" panose="020B0604020202020204" pitchFamily="34" charset="0"/>
        </a:defRPr>
      </a:pPr>
      <a:endParaRPr lang="es-E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F2E730-13F7-4E50-AB04-B154462E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6</Pages>
  <Words>10059</Words>
  <Characters>55328</Characters>
  <Application>Microsoft Office Word</Application>
  <DocSecurity>0</DocSecurity>
  <Lines>461</Lines>
  <Paragraphs>130</Paragraphs>
  <ScaleCrop>false</ScaleCrop>
  <HeadingPairs>
    <vt:vector size="8" baseType="variant">
      <vt:variant>
        <vt:lpstr>Título</vt:lpstr>
      </vt:variant>
      <vt:variant>
        <vt:i4>1</vt:i4>
      </vt:variant>
      <vt:variant>
        <vt:lpstr>タイトル</vt:lpstr>
      </vt:variant>
      <vt:variant>
        <vt:i4>1</vt:i4>
      </vt:variant>
      <vt:variant>
        <vt:lpstr>Titolo</vt:lpstr>
      </vt:variant>
      <vt:variant>
        <vt:i4>1</vt:i4>
      </vt:variant>
      <vt:variant>
        <vt:lpstr>Title</vt:lpstr>
      </vt:variant>
      <vt:variant>
        <vt:i4>1</vt:i4>
      </vt:variant>
    </vt:vector>
  </HeadingPairs>
  <TitlesOfParts>
    <vt:vector size="4" baseType="lpstr">
      <vt:lpstr/>
      <vt:lpstr/>
      <vt:lpstr/>
      <vt:lpstr/>
    </vt:vector>
  </TitlesOfParts>
  <Company>Dipartimento CMIC - Politecnico di Milano</Company>
  <LinksUpToDate>false</LinksUpToDate>
  <CharactersWithSpaces>65257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raffaella</dc:creator>
  <cp:lastModifiedBy>Ciemat</cp:lastModifiedBy>
  <cp:revision>6</cp:revision>
  <cp:lastPrinted>2023-05-04T10:23:00Z</cp:lastPrinted>
  <dcterms:created xsi:type="dcterms:W3CDTF">2023-05-30T07:36:00Z</dcterms:created>
  <dcterms:modified xsi:type="dcterms:W3CDTF">2023-05-30T07:58:00Z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zotero-version="4.0.29.17"&gt;&lt;session id="s8VwuD2U"/&gt;&lt;style id="http://www.zotero.org/styles/chemical-engineering-transactions" hasBibliography="1" bibliographyStyleHasBeenSet="1"/&gt;&lt;prefs&gt;&lt;pref name="fieldType" value="Field"/&gt;&lt;pref na</vt:lpwstr>
  </property>
  <property fmtid="{D5CDD505-2E9C-101B-9397-08002B2CF9AE}" pid="3" name="ZOTERO_PREF_2">
    <vt:lpwstr>me="storeReferences" value="true"/&gt;&lt;pref name="automaticJournalAbbreviations" value=""/&gt;&lt;pref name="noteType" value=""/&gt;&lt;/prefs&gt;&lt;/data&gt;</vt:lpwstr>
  </property>
  <property fmtid="{D5CDD505-2E9C-101B-9397-08002B2CF9AE}" pid="4" name="Mendeley Document_1">
    <vt:lpwstr>True</vt:lpwstr>
  </property>
  <property fmtid="{D5CDD505-2E9C-101B-9397-08002B2CF9AE}" pid="5" name="Mendeley Unique User Id_1">
    <vt:lpwstr>2d647b1a-53e3-39b2-a05e-fc139e3a89a8</vt:lpwstr>
  </property>
  <property fmtid="{D5CDD505-2E9C-101B-9397-08002B2CF9AE}" pid="6" name="Mendeley Citation Style_1">
    <vt:lpwstr>http://www.zotero.org/styles/elsevier-harvard</vt:lpwstr>
  </property>
  <property fmtid="{D5CDD505-2E9C-101B-9397-08002B2CF9AE}" pid="7" name="Mendeley Recent Style Id 0_1">
    <vt:lpwstr>http://www.zotero.org/styles/apa</vt:lpwstr>
  </property>
  <property fmtid="{D5CDD505-2E9C-101B-9397-08002B2CF9AE}" pid="8" name="Mendeley Recent Style Name 0_1">
    <vt:lpwstr>American Psychological Association 7th edition</vt:lpwstr>
  </property>
  <property fmtid="{D5CDD505-2E9C-101B-9397-08002B2CF9AE}" pid="9" name="Mendeley Recent Style Id 1_1">
    <vt:lpwstr>http://www.zotero.org/styles/chicago-author-date</vt:lpwstr>
  </property>
  <property fmtid="{D5CDD505-2E9C-101B-9397-08002B2CF9AE}" pid="10" name="Mendeley Recent Style Name 1_1">
    <vt:lpwstr>Chicago Manual of Style 17th edition (author-date)</vt:lpwstr>
  </property>
  <property fmtid="{D5CDD505-2E9C-101B-9397-08002B2CF9AE}" pid="11" name="Mendeley Recent Style Id 2_1">
    <vt:lpwstr>http://www.zotero.org/styles/elsevier-harvard</vt:lpwstr>
  </property>
  <property fmtid="{D5CDD505-2E9C-101B-9397-08002B2CF9AE}" pid="12" name="Mendeley Recent Style Name 2_1">
    <vt:lpwstr>Elsevier - Harvard (with titles)</vt:lpwstr>
  </property>
  <property fmtid="{D5CDD505-2E9C-101B-9397-08002B2CF9AE}" pid="13" name="Mendeley Recent Style Id 3_1">
    <vt:lpwstr>http://www.zotero.org/styles/ieee</vt:lpwstr>
  </property>
  <property fmtid="{D5CDD505-2E9C-101B-9397-08002B2CF9AE}" pid="14" name="Mendeley Recent Style Name 3_1">
    <vt:lpwstr>IEEE</vt:lpwstr>
  </property>
  <property fmtid="{D5CDD505-2E9C-101B-9397-08002B2CF9AE}" pid="15" name="Mendeley Recent Style Id 4_1">
    <vt:lpwstr>http://www.zotero.org/styles/modern-humanities-research-association</vt:lpwstr>
  </property>
  <property fmtid="{D5CDD505-2E9C-101B-9397-08002B2CF9AE}" pid="16" name="Mendeley Recent Style Name 4_1">
    <vt:lpwstr>Modern Humanities Research Association 3rd edition (note with bibliography)</vt:lpwstr>
  </property>
  <property fmtid="{D5CDD505-2E9C-101B-9397-08002B2CF9AE}" pid="17" name="Mendeley Recent Style Id 5_1">
    <vt:lpwstr>http://www.zotero.org/styles/modern-language-association</vt:lpwstr>
  </property>
  <property fmtid="{D5CDD505-2E9C-101B-9397-08002B2CF9AE}" pid="18" name="Mendeley Recent Style Name 5_1">
    <vt:lpwstr>Modern Language Association 8th edition</vt:lpwstr>
  </property>
  <property fmtid="{D5CDD505-2E9C-101B-9397-08002B2CF9AE}" pid="19" name="Mendeley Recent Style Id 6_1">
    <vt:lpwstr>http://www.zotero.org/styles/nature</vt:lpwstr>
  </property>
  <property fmtid="{D5CDD505-2E9C-101B-9397-08002B2CF9AE}" pid="20" name="Mendeley Recent Style Name 6_1">
    <vt:lpwstr>Nature</vt:lpwstr>
  </property>
  <property fmtid="{D5CDD505-2E9C-101B-9397-08002B2CF9AE}" pid="21" name="Mendeley Recent Style Id 7_1">
    <vt:lpwstr>http://www.zotero.org/styles/nature</vt:lpwstr>
  </property>
  <property fmtid="{D5CDD505-2E9C-101B-9397-08002B2CF9AE}" pid="22" name="Mendeley Recent Style Name 7_1">
    <vt:lpwstr>Nature</vt:lpwstr>
  </property>
  <property fmtid="{D5CDD505-2E9C-101B-9397-08002B2CF9AE}" pid="23" name="Mendeley Recent Style Id 8_1">
    <vt:lpwstr>http://www.zotero.org/styles/nature</vt:lpwstr>
  </property>
  <property fmtid="{D5CDD505-2E9C-101B-9397-08002B2CF9AE}" pid="24" name="Mendeley Recent Style Name 8_1">
    <vt:lpwstr>Nature</vt:lpwstr>
  </property>
  <property fmtid="{D5CDD505-2E9C-101B-9397-08002B2CF9AE}" pid="25" name="Mendeley Recent Style Id 9_1">
    <vt:lpwstr>http://www.zotero.org/styles/nature</vt:lpwstr>
  </property>
  <property fmtid="{D5CDD505-2E9C-101B-9397-08002B2CF9AE}" pid="26" name="Mendeley Recent Style Name 9_1">
    <vt:lpwstr>Nature</vt:lpwstr>
  </property>
</Properties>
</file>